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73620" w14:textId="5885C156" w:rsidR="000E2EE0" w:rsidRDefault="000E2EE0" w:rsidP="000E2EE0">
      <w:pPr>
        <w:pStyle w:val="Brezrazmikov"/>
        <w:rPr>
          <w:rFonts w:ascii="Calibri" w:eastAsia="Calibri" w:hAnsi="Calibri" w:cs="Times New Roman"/>
          <w:b/>
          <w:bCs/>
          <w:u w:val="single"/>
        </w:rPr>
      </w:pPr>
      <w:r>
        <w:rPr>
          <w:rFonts w:ascii="Calibri" w:eastAsia="Calibri" w:hAnsi="Calibri" w:cs="Times New Roman"/>
          <w:b/>
          <w:bCs/>
          <w:u w:val="single"/>
        </w:rPr>
        <w:t xml:space="preserve">Datum: </w:t>
      </w:r>
      <w:r w:rsidR="006419B0">
        <w:rPr>
          <w:rFonts w:ascii="Calibri" w:eastAsia="Calibri" w:hAnsi="Calibri" w:cs="Times New Roman"/>
          <w:b/>
          <w:bCs/>
          <w:u w:val="single"/>
        </w:rPr>
        <w:t>31</w:t>
      </w:r>
      <w:r>
        <w:rPr>
          <w:rFonts w:ascii="Calibri" w:eastAsia="Calibri" w:hAnsi="Calibri" w:cs="Times New Roman"/>
          <w:b/>
          <w:bCs/>
          <w:u w:val="single"/>
        </w:rPr>
        <w:t>. 1. 202</w:t>
      </w:r>
      <w:r w:rsidR="006419B0">
        <w:rPr>
          <w:rFonts w:ascii="Calibri" w:eastAsia="Calibri" w:hAnsi="Calibri" w:cs="Times New Roman"/>
          <w:b/>
          <w:bCs/>
          <w:u w:val="single"/>
        </w:rPr>
        <w:t>3</w:t>
      </w:r>
    </w:p>
    <w:p w14:paraId="0C3099FB" w14:textId="77777777" w:rsidR="000E2EE0" w:rsidRDefault="000E2EE0" w:rsidP="00E048F2">
      <w:pPr>
        <w:pStyle w:val="Brezrazmikov"/>
        <w:rPr>
          <w:rFonts w:ascii="Calibri" w:eastAsia="Calibri" w:hAnsi="Calibri" w:cs="Times New Roman"/>
          <w:b/>
          <w:bCs/>
          <w:u w:val="single"/>
        </w:rPr>
      </w:pPr>
    </w:p>
    <w:p w14:paraId="47DA28AF" w14:textId="4F3054C3" w:rsidR="00B63B68" w:rsidRDefault="00E358B0" w:rsidP="00E358B0">
      <w:pPr>
        <w:pStyle w:val="Brezrazmikov"/>
        <w:jc w:val="center"/>
        <w:rPr>
          <w:rFonts w:ascii="Calibri" w:eastAsia="Calibri" w:hAnsi="Calibri" w:cs="Times New Roman"/>
          <w:b/>
          <w:bCs/>
          <w:u w:val="single"/>
        </w:rPr>
      </w:pPr>
      <w:r w:rsidRPr="00E358B0">
        <w:rPr>
          <w:rFonts w:ascii="Calibri" w:eastAsia="Calibri" w:hAnsi="Calibri" w:cs="Times New Roman"/>
          <w:b/>
          <w:bCs/>
          <w:u w:val="single"/>
        </w:rPr>
        <w:t>PREGLEDA POMOČI GOSPODARSTVOM IN GOSPODINJSTVOM NA PODROČJU ENERGETIKE IN DRAGINJE</w:t>
      </w:r>
    </w:p>
    <w:p w14:paraId="3B07AE31" w14:textId="30B25E93" w:rsidR="00E358B0" w:rsidRDefault="00E358B0" w:rsidP="00E358B0">
      <w:pPr>
        <w:pStyle w:val="Brezrazmikov"/>
        <w:jc w:val="both"/>
        <w:rPr>
          <w:rFonts w:ascii="Calibri" w:eastAsia="Calibri" w:hAnsi="Calibri" w:cs="Times New Roman"/>
          <w:b/>
          <w:bCs/>
          <w:u w:val="single"/>
        </w:rPr>
      </w:pPr>
    </w:p>
    <w:tbl>
      <w:tblPr>
        <w:tblStyle w:val="Tabelamrea"/>
        <w:tblW w:w="0" w:type="auto"/>
        <w:tblLook w:val="04A0" w:firstRow="1" w:lastRow="0" w:firstColumn="1" w:lastColumn="0" w:noHBand="0" w:noVBand="1"/>
      </w:tblPr>
      <w:tblGrid>
        <w:gridCol w:w="3397"/>
        <w:gridCol w:w="10597"/>
      </w:tblGrid>
      <w:tr w:rsidR="00E14F26" w14:paraId="173C24CB" w14:textId="77777777" w:rsidTr="00E358B0">
        <w:tc>
          <w:tcPr>
            <w:tcW w:w="3397" w:type="dxa"/>
          </w:tcPr>
          <w:p w14:paraId="1B200595" w14:textId="181422CD" w:rsidR="00E14F26" w:rsidRPr="00151A3D" w:rsidRDefault="009B4723" w:rsidP="00E358B0">
            <w:pPr>
              <w:pStyle w:val="Brezrazmikov"/>
              <w:jc w:val="both"/>
              <w:rPr>
                <w:b/>
                <w:bCs/>
              </w:rPr>
            </w:pPr>
            <w:hyperlink r:id="rId7" w:history="1">
              <w:r w:rsidR="000B690A" w:rsidRPr="009B4723">
                <w:rPr>
                  <w:rStyle w:val="Hiperpovezava"/>
                  <w:b/>
                  <w:bCs/>
                </w:rPr>
                <w:t>Zakon o pomoči gospodarstvu</w:t>
              </w:r>
              <w:r w:rsidR="003070E6" w:rsidRPr="009B4723">
                <w:rPr>
                  <w:rStyle w:val="Hiperpovezava"/>
                  <w:b/>
                  <w:bCs/>
                </w:rPr>
                <w:t xml:space="preserve"> za omilitev </w:t>
              </w:r>
              <w:r w:rsidR="000B690A" w:rsidRPr="009B4723">
                <w:rPr>
                  <w:rStyle w:val="Hiperpovezava"/>
                  <w:b/>
                  <w:bCs/>
                </w:rPr>
                <w:t>posledic energetske krize</w:t>
              </w:r>
            </w:hyperlink>
          </w:p>
          <w:p w14:paraId="558B7AAB" w14:textId="46D0BDC4" w:rsidR="00622280" w:rsidRDefault="00E045F1" w:rsidP="00E358B0">
            <w:pPr>
              <w:pStyle w:val="Brezrazmikov"/>
              <w:jc w:val="both"/>
            </w:pPr>
            <w:r>
              <w:t>(velja od 28.12.2022 dalje)</w:t>
            </w:r>
          </w:p>
          <w:p w14:paraId="510CF393" w14:textId="77777777" w:rsidR="00E045F1" w:rsidRDefault="00E045F1" w:rsidP="00E358B0">
            <w:pPr>
              <w:pStyle w:val="Brezrazmikov"/>
              <w:jc w:val="both"/>
            </w:pPr>
          </w:p>
          <w:p w14:paraId="36AD7BD7" w14:textId="78E93367" w:rsidR="00622280" w:rsidRPr="009B4723" w:rsidRDefault="00622280" w:rsidP="00622280">
            <w:pPr>
              <w:pStyle w:val="Brezrazmikov"/>
              <w:jc w:val="both"/>
              <w:rPr>
                <w:color w:val="FF0000"/>
              </w:rPr>
            </w:pPr>
            <w:r w:rsidRPr="00622280">
              <w:rPr>
                <w:color w:val="FF0000"/>
              </w:rPr>
              <w:t xml:space="preserve">Upravičencu je odobrena pomoč za gospodarstvo, v kolikor izračunana skupna višina pomoči presega  600 EUR.  </w:t>
            </w:r>
          </w:p>
          <w:p w14:paraId="2565F0ED" w14:textId="52D88D56" w:rsidR="00E045F1" w:rsidRPr="009B4723" w:rsidRDefault="00E045F1" w:rsidP="00622280">
            <w:pPr>
              <w:pStyle w:val="Brezrazmikov"/>
              <w:jc w:val="both"/>
              <w:rPr>
                <w:color w:val="FF0000"/>
              </w:rPr>
            </w:pPr>
          </w:p>
          <w:p w14:paraId="58B302E5" w14:textId="5787DB87" w:rsidR="00E045F1" w:rsidRDefault="00C7482C" w:rsidP="00622280">
            <w:pPr>
              <w:pStyle w:val="Brezrazmikov"/>
              <w:jc w:val="both"/>
              <w:rPr>
                <w:color w:val="FF0000"/>
              </w:rPr>
            </w:pPr>
            <w:r w:rsidRPr="009B4723">
              <w:rPr>
                <w:color w:val="FF0000"/>
              </w:rPr>
              <w:t xml:space="preserve">Višina pomoči </w:t>
            </w:r>
            <w:r w:rsidR="00A400CF" w:rsidRPr="009B4723">
              <w:rPr>
                <w:color w:val="FF0000"/>
              </w:rPr>
              <w:t>vseh upravičencev znaša največ 650 milijonov EUR.</w:t>
            </w:r>
          </w:p>
          <w:p w14:paraId="11FDA7B5" w14:textId="4B17802D" w:rsidR="009B4723" w:rsidRDefault="009B4723" w:rsidP="00622280">
            <w:pPr>
              <w:pStyle w:val="Brezrazmikov"/>
              <w:jc w:val="both"/>
              <w:rPr>
                <w:color w:val="FF0000"/>
              </w:rPr>
            </w:pPr>
          </w:p>
          <w:p w14:paraId="5F9D2BBE" w14:textId="370F3DC0" w:rsidR="009B4723" w:rsidRDefault="009B4723" w:rsidP="00622280">
            <w:pPr>
              <w:pStyle w:val="Brezrazmikov"/>
              <w:jc w:val="both"/>
              <w:rPr>
                <w:color w:val="FF0000"/>
              </w:rPr>
            </w:pPr>
            <w:r>
              <w:rPr>
                <w:color w:val="FF0000"/>
              </w:rPr>
              <w:t>Upravičena niso podjetja, ki so upravičenci p</w:t>
            </w:r>
            <w:r w:rsidR="00536715">
              <w:rPr>
                <w:color w:val="FF0000"/>
              </w:rPr>
              <w:t>o naslednjih uredbah:</w:t>
            </w:r>
          </w:p>
          <w:p w14:paraId="5EC0C225" w14:textId="59D51E17" w:rsidR="00536715" w:rsidRDefault="00536715" w:rsidP="00536715">
            <w:pPr>
              <w:pStyle w:val="Brezrazmikov"/>
              <w:numPr>
                <w:ilvl w:val="0"/>
                <w:numId w:val="8"/>
              </w:numPr>
              <w:jc w:val="both"/>
              <w:rPr>
                <w:color w:val="FF0000"/>
              </w:rPr>
            </w:pPr>
            <w:r>
              <w:rPr>
                <w:color w:val="FF0000"/>
              </w:rPr>
              <w:t>Uredba o določitvi cene električne energije za mikro, mala in srednja podjetja</w:t>
            </w:r>
            <w:r w:rsidR="00057868">
              <w:rPr>
                <w:color w:val="FF0000"/>
              </w:rPr>
              <w:t xml:space="preserve"> (za pomoč, ki se nanaša na električno energijo</w:t>
            </w:r>
            <w:r w:rsidR="005104A9">
              <w:rPr>
                <w:color w:val="FF0000"/>
              </w:rPr>
              <w:t xml:space="preserve"> in za čas veljavnosti Uredbe</w:t>
            </w:r>
            <w:r w:rsidR="00057868">
              <w:rPr>
                <w:color w:val="FF0000"/>
              </w:rPr>
              <w:t>)</w:t>
            </w:r>
          </w:p>
          <w:p w14:paraId="5A645090" w14:textId="1D623E23" w:rsidR="00536715" w:rsidRDefault="00057868" w:rsidP="00536715">
            <w:pPr>
              <w:pStyle w:val="Brezrazmikov"/>
              <w:numPr>
                <w:ilvl w:val="0"/>
                <w:numId w:val="8"/>
              </w:numPr>
              <w:jc w:val="both"/>
              <w:rPr>
                <w:color w:val="FF0000"/>
              </w:rPr>
            </w:pPr>
            <w:r>
              <w:rPr>
                <w:color w:val="FF0000"/>
              </w:rPr>
              <w:t>Uredba o določitvi cen</w:t>
            </w:r>
            <w:r w:rsidR="002F0194">
              <w:rPr>
                <w:color w:val="FF0000"/>
              </w:rPr>
              <w:t xml:space="preserve"> </w:t>
            </w:r>
            <w:r>
              <w:rPr>
                <w:color w:val="FF0000"/>
              </w:rPr>
              <w:t>zemeljskega plina</w:t>
            </w:r>
            <w:r w:rsidR="009357EE">
              <w:rPr>
                <w:color w:val="FF0000"/>
              </w:rPr>
              <w:t xml:space="preserve"> iz </w:t>
            </w:r>
            <w:r w:rsidR="002F0194">
              <w:rPr>
                <w:color w:val="FF0000"/>
              </w:rPr>
              <w:t>plinskega sistema</w:t>
            </w:r>
          </w:p>
          <w:p w14:paraId="5CF68228" w14:textId="265A2067" w:rsidR="005427DE" w:rsidRDefault="005427DE" w:rsidP="00536715">
            <w:pPr>
              <w:pStyle w:val="Brezrazmikov"/>
              <w:numPr>
                <w:ilvl w:val="0"/>
                <w:numId w:val="8"/>
              </w:numPr>
              <w:jc w:val="both"/>
              <w:rPr>
                <w:color w:val="FF0000"/>
              </w:rPr>
            </w:pPr>
            <w:r>
              <w:rPr>
                <w:color w:val="FF0000"/>
              </w:rPr>
              <w:t>Uredba o določitvi cen električne energije</w:t>
            </w:r>
            <w:r w:rsidR="007C0C04">
              <w:rPr>
                <w:color w:val="FF0000"/>
              </w:rPr>
              <w:t>.</w:t>
            </w:r>
          </w:p>
          <w:p w14:paraId="6A99CF08" w14:textId="29A847EA" w:rsidR="007C0C04" w:rsidRDefault="007C0C04" w:rsidP="007C0C04">
            <w:pPr>
              <w:pStyle w:val="Brezrazmikov"/>
              <w:jc w:val="both"/>
              <w:rPr>
                <w:color w:val="FF0000"/>
              </w:rPr>
            </w:pPr>
          </w:p>
          <w:p w14:paraId="37DBA5F6" w14:textId="04A25006" w:rsidR="007C0C04" w:rsidRDefault="007C0C04" w:rsidP="007C0C04">
            <w:pPr>
              <w:pStyle w:val="Brezrazmikov"/>
              <w:jc w:val="both"/>
              <w:rPr>
                <w:color w:val="FF0000"/>
              </w:rPr>
            </w:pPr>
            <w:r>
              <w:rPr>
                <w:color w:val="FF0000"/>
              </w:rPr>
              <w:t xml:space="preserve">Niso upravičenci, če imajo registrirano glavno dejavnost K po </w:t>
            </w:r>
            <w:r>
              <w:rPr>
                <w:color w:val="FF0000"/>
              </w:rPr>
              <w:lastRenderedPageBreak/>
              <w:t>standardni klasifikaciji dejavnosti na dan 31.12.2022.</w:t>
            </w:r>
          </w:p>
          <w:p w14:paraId="61E49F2A" w14:textId="1ABAF5D0" w:rsidR="007C0C04" w:rsidRDefault="007C0C04" w:rsidP="007C0C04">
            <w:pPr>
              <w:pStyle w:val="Brezrazmikov"/>
              <w:jc w:val="both"/>
              <w:rPr>
                <w:color w:val="FF0000"/>
              </w:rPr>
            </w:pPr>
          </w:p>
          <w:p w14:paraId="40E24BD5" w14:textId="77777777" w:rsidR="00EB1B01" w:rsidRDefault="007C0C04" w:rsidP="007C0C04">
            <w:pPr>
              <w:pStyle w:val="Brezrazmikov"/>
              <w:jc w:val="both"/>
              <w:rPr>
                <w:color w:val="FF0000"/>
              </w:rPr>
            </w:pPr>
            <w:r>
              <w:rPr>
                <w:color w:val="FF0000"/>
              </w:rPr>
              <w:t xml:space="preserve">Niso upravičenci, če </w:t>
            </w:r>
            <w:r w:rsidR="00783964">
              <w:rPr>
                <w:color w:val="FF0000"/>
              </w:rPr>
              <w:t>na dan oddaje vloge:</w:t>
            </w:r>
          </w:p>
          <w:p w14:paraId="642C4125" w14:textId="18AAB032" w:rsidR="00622280" w:rsidRDefault="009729B6" w:rsidP="00622280">
            <w:pPr>
              <w:pStyle w:val="Brezrazmikov"/>
              <w:numPr>
                <w:ilvl w:val="0"/>
                <w:numId w:val="8"/>
              </w:numPr>
              <w:jc w:val="both"/>
              <w:rPr>
                <w:color w:val="FF0000"/>
              </w:rPr>
            </w:pPr>
            <w:r>
              <w:rPr>
                <w:color w:val="FF0000"/>
              </w:rPr>
              <w:t xml:space="preserve">za upravičenca veljajo </w:t>
            </w:r>
            <w:r w:rsidR="00413CF4">
              <w:rPr>
                <w:color w:val="FF0000"/>
              </w:rPr>
              <w:t>sankcije EU zaradi ruske agresije nad Ukrajino</w:t>
            </w:r>
            <w:r w:rsidR="00C665C9">
              <w:rPr>
                <w:color w:val="FF0000"/>
              </w:rPr>
              <w:t>;</w:t>
            </w:r>
          </w:p>
          <w:p w14:paraId="09281CD7" w14:textId="67361B92" w:rsidR="00B00988" w:rsidRDefault="00B00988" w:rsidP="00622280">
            <w:pPr>
              <w:pStyle w:val="Brezrazmikov"/>
              <w:numPr>
                <w:ilvl w:val="0"/>
                <w:numId w:val="8"/>
              </w:numPr>
              <w:jc w:val="both"/>
              <w:rPr>
                <w:color w:val="FF0000"/>
              </w:rPr>
            </w:pPr>
            <w:r w:rsidRPr="00B00988">
              <w:rPr>
                <w:color w:val="FF0000"/>
              </w:rPr>
              <w:t>uveden stečajni postopek ali postopek likvidacije</w:t>
            </w:r>
            <w:r w:rsidR="00C665C9">
              <w:rPr>
                <w:color w:val="FF0000"/>
              </w:rPr>
              <w:t>;</w:t>
            </w:r>
          </w:p>
          <w:p w14:paraId="35D327B2" w14:textId="7FE9227F" w:rsidR="00622280" w:rsidRPr="009927BD" w:rsidRDefault="009927BD" w:rsidP="009927BD">
            <w:pPr>
              <w:pStyle w:val="Brezrazmikov"/>
              <w:numPr>
                <w:ilvl w:val="0"/>
                <w:numId w:val="8"/>
              </w:numPr>
              <w:jc w:val="both"/>
              <w:rPr>
                <w:color w:val="FF0000"/>
              </w:rPr>
            </w:pPr>
            <w:r w:rsidRPr="00B00988">
              <w:rPr>
                <w:color w:val="FF0000"/>
              </w:rPr>
              <w:t>ne sme imeti neplačanih zapadlih obveznosti iz naslova obveznih dajatev in drugih denarnih nedavčnih obveznosti v skladu z zakonom, ki ureja finančno upravo, ki znašajo 50 eurov in več, in ima izpolnjene obveznosti iz naslova predložitve vseh obračunov davčnih odtegljajev za dohodke iz delovnega razmerja za obdobje zadnjega leta do dneva oddaje vloge</w:t>
            </w:r>
            <w:r>
              <w:rPr>
                <w:color w:val="FF0000"/>
              </w:rPr>
              <w:t>.</w:t>
            </w:r>
          </w:p>
        </w:tc>
        <w:tc>
          <w:tcPr>
            <w:tcW w:w="10597" w:type="dxa"/>
          </w:tcPr>
          <w:tbl>
            <w:tblPr>
              <w:tblStyle w:val="Tabelamrea"/>
              <w:tblW w:w="0" w:type="auto"/>
              <w:tblLook w:val="04A0" w:firstRow="1" w:lastRow="0" w:firstColumn="1" w:lastColumn="0" w:noHBand="0" w:noVBand="1"/>
            </w:tblPr>
            <w:tblGrid>
              <w:gridCol w:w="3457"/>
              <w:gridCol w:w="3457"/>
              <w:gridCol w:w="3457"/>
            </w:tblGrid>
            <w:tr w:rsidR="003070E6" w14:paraId="1D0C7338" w14:textId="77777777" w:rsidTr="00CE338C">
              <w:tc>
                <w:tcPr>
                  <w:tcW w:w="3457" w:type="dxa"/>
                  <w:shd w:val="clear" w:color="auto" w:fill="E7E6E6" w:themeFill="background2"/>
                </w:tcPr>
                <w:p w14:paraId="6AE0BF59" w14:textId="77777777" w:rsidR="003070E6" w:rsidRPr="00E358B0" w:rsidRDefault="003070E6" w:rsidP="003070E6">
                  <w:pPr>
                    <w:pStyle w:val="Brezrazmikov"/>
                    <w:jc w:val="center"/>
                    <w:rPr>
                      <w:b/>
                      <w:bCs/>
                      <w:i/>
                      <w:iCs/>
                    </w:rPr>
                  </w:pPr>
                  <w:r w:rsidRPr="00E358B0">
                    <w:rPr>
                      <w:b/>
                      <w:bCs/>
                      <w:i/>
                      <w:iCs/>
                    </w:rPr>
                    <w:lastRenderedPageBreak/>
                    <w:t>UKREP</w:t>
                  </w:r>
                </w:p>
              </w:tc>
              <w:tc>
                <w:tcPr>
                  <w:tcW w:w="3457" w:type="dxa"/>
                  <w:shd w:val="clear" w:color="auto" w:fill="E7E6E6" w:themeFill="background2"/>
                </w:tcPr>
                <w:p w14:paraId="4B199EC9" w14:textId="77777777" w:rsidR="003070E6" w:rsidRPr="00E358B0" w:rsidRDefault="003070E6" w:rsidP="003070E6">
                  <w:pPr>
                    <w:pStyle w:val="Brezrazmikov"/>
                    <w:jc w:val="center"/>
                    <w:rPr>
                      <w:b/>
                      <w:bCs/>
                      <w:i/>
                      <w:iCs/>
                    </w:rPr>
                  </w:pPr>
                  <w:r w:rsidRPr="00E358B0">
                    <w:rPr>
                      <w:b/>
                      <w:bCs/>
                      <w:i/>
                      <w:iCs/>
                    </w:rPr>
                    <w:t>GOSPODINJSTVA</w:t>
                  </w:r>
                </w:p>
              </w:tc>
              <w:tc>
                <w:tcPr>
                  <w:tcW w:w="3457" w:type="dxa"/>
                  <w:shd w:val="clear" w:color="auto" w:fill="E7E6E6" w:themeFill="background2"/>
                </w:tcPr>
                <w:p w14:paraId="30ED5CC3" w14:textId="77777777" w:rsidR="003070E6" w:rsidRPr="00E358B0" w:rsidRDefault="003070E6" w:rsidP="003070E6">
                  <w:pPr>
                    <w:pStyle w:val="Brezrazmikov"/>
                    <w:jc w:val="center"/>
                    <w:rPr>
                      <w:b/>
                      <w:bCs/>
                      <w:i/>
                      <w:iCs/>
                    </w:rPr>
                  </w:pPr>
                  <w:r w:rsidRPr="00E358B0">
                    <w:rPr>
                      <w:b/>
                      <w:bCs/>
                      <w:i/>
                      <w:iCs/>
                    </w:rPr>
                    <w:t>GOSPODARSTVO</w:t>
                  </w:r>
                </w:p>
              </w:tc>
            </w:tr>
            <w:tr w:rsidR="003070E6" w14:paraId="651F1C4C" w14:textId="77777777" w:rsidTr="00CE338C">
              <w:tc>
                <w:tcPr>
                  <w:tcW w:w="3457" w:type="dxa"/>
                </w:tcPr>
                <w:p w14:paraId="01ACDEAC" w14:textId="62A47002" w:rsidR="003070E6" w:rsidRDefault="00AC14B8" w:rsidP="003070E6">
                  <w:pPr>
                    <w:pStyle w:val="Brezrazmikov"/>
                    <w:jc w:val="both"/>
                  </w:pPr>
                  <w:r>
                    <w:t>Enostavna pomoč za gospodarstvo</w:t>
                  </w:r>
                </w:p>
              </w:tc>
              <w:tc>
                <w:tcPr>
                  <w:tcW w:w="3457" w:type="dxa"/>
                </w:tcPr>
                <w:p w14:paraId="5FE73038" w14:textId="5068EC0A" w:rsidR="003070E6" w:rsidRDefault="003070E6" w:rsidP="003070E6">
                  <w:pPr>
                    <w:pStyle w:val="Brezrazmikov"/>
                    <w:jc w:val="both"/>
                  </w:pPr>
                  <w:r>
                    <w:t>/</w:t>
                  </w:r>
                </w:p>
              </w:tc>
              <w:tc>
                <w:tcPr>
                  <w:tcW w:w="3457" w:type="dxa"/>
                </w:tcPr>
                <w:p w14:paraId="4331B5FA" w14:textId="5FE7FB5A" w:rsidR="003070E6" w:rsidRDefault="0003180F" w:rsidP="003070E6">
                  <w:pPr>
                    <w:pStyle w:val="Brezrazmikov"/>
                    <w:jc w:val="both"/>
                  </w:pPr>
                  <w:r w:rsidRPr="0003180F">
                    <w:t>v višini 50 % upravičenih stroškov do skupne višine največ 2 milijona EUR</w:t>
                  </w:r>
                </w:p>
              </w:tc>
            </w:tr>
            <w:tr w:rsidR="003070E6" w14:paraId="01CC57BC" w14:textId="77777777" w:rsidTr="00CE338C">
              <w:tc>
                <w:tcPr>
                  <w:tcW w:w="3457" w:type="dxa"/>
                </w:tcPr>
                <w:p w14:paraId="6BD0F7E2" w14:textId="57E06E30" w:rsidR="003070E6" w:rsidRPr="00E358B0" w:rsidRDefault="00E9153C" w:rsidP="003070E6">
                  <w:pPr>
                    <w:pStyle w:val="Brezrazmikov"/>
                    <w:jc w:val="both"/>
                  </w:pPr>
                  <w:r>
                    <w:t xml:space="preserve">Osnovna </w:t>
                  </w:r>
                  <w:r w:rsidR="00B928C9" w:rsidRPr="00B928C9">
                    <w:t>posebna pomoč za podjetja</w:t>
                  </w:r>
                </w:p>
              </w:tc>
              <w:tc>
                <w:tcPr>
                  <w:tcW w:w="3457" w:type="dxa"/>
                </w:tcPr>
                <w:p w14:paraId="4AC289B8" w14:textId="48DB9BB4" w:rsidR="003070E6" w:rsidRDefault="00BF1D2F" w:rsidP="003070E6">
                  <w:pPr>
                    <w:pStyle w:val="Brezrazmikov"/>
                    <w:jc w:val="both"/>
                  </w:pPr>
                  <w:r>
                    <w:t>/</w:t>
                  </w:r>
                </w:p>
              </w:tc>
              <w:tc>
                <w:tcPr>
                  <w:tcW w:w="3457" w:type="dxa"/>
                </w:tcPr>
                <w:p w14:paraId="242A31FC" w14:textId="42881DED" w:rsidR="003070E6" w:rsidRDefault="00B928C9" w:rsidP="003070E6">
                  <w:pPr>
                    <w:pStyle w:val="Brezrazmikov"/>
                    <w:jc w:val="both"/>
                  </w:pPr>
                  <w:r w:rsidRPr="00B928C9">
                    <w:t>v višini 50 % upravičenih stroškov do skupne višine največ 4 milijone EUR),</w:t>
                  </w:r>
                </w:p>
              </w:tc>
            </w:tr>
            <w:tr w:rsidR="00D06A31" w14:paraId="50A3B450" w14:textId="77777777" w:rsidTr="00CE338C">
              <w:tc>
                <w:tcPr>
                  <w:tcW w:w="3457" w:type="dxa"/>
                </w:tcPr>
                <w:p w14:paraId="511A1975" w14:textId="2B27412E" w:rsidR="00D06A31" w:rsidRPr="00651BE8" w:rsidRDefault="00651BE8" w:rsidP="003070E6">
                  <w:pPr>
                    <w:pStyle w:val="Brezrazmikov"/>
                    <w:jc w:val="both"/>
                  </w:pPr>
                  <w:r w:rsidRPr="00651BE8">
                    <w:t>P</w:t>
                  </w:r>
                  <w:r w:rsidRPr="00651BE8">
                    <w:t>osebna pomoč zaradi zmanjšane gospodarske uspešnosti</w:t>
                  </w:r>
                </w:p>
              </w:tc>
              <w:tc>
                <w:tcPr>
                  <w:tcW w:w="3457" w:type="dxa"/>
                </w:tcPr>
                <w:p w14:paraId="714F77CA" w14:textId="53FBFD50" w:rsidR="00D06A31" w:rsidRDefault="00BF1D2F" w:rsidP="003070E6">
                  <w:pPr>
                    <w:pStyle w:val="Brezrazmikov"/>
                    <w:jc w:val="both"/>
                  </w:pPr>
                  <w:r>
                    <w:t>/</w:t>
                  </w:r>
                </w:p>
              </w:tc>
              <w:tc>
                <w:tcPr>
                  <w:tcW w:w="3457" w:type="dxa"/>
                </w:tcPr>
                <w:p w14:paraId="10B37BDE" w14:textId="7390E874" w:rsidR="00D06A31" w:rsidRPr="00B928C9" w:rsidRDefault="00651BE8" w:rsidP="003070E6">
                  <w:pPr>
                    <w:pStyle w:val="Brezrazmikov"/>
                    <w:jc w:val="both"/>
                  </w:pPr>
                  <w:r w:rsidRPr="00651BE8">
                    <w:t>v višini 40 % upravičenih stroškov do skupne višine največ 100 milijonov EUR</w:t>
                  </w:r>
                </w:p>
              </w:tc>
            </w:tr>
            <w:tr w:rsidR="00651BE8" w14:paraId="3F0A959A" w14:textId="77777777" w:rsidTr="00CE338C">
              <w:tc>
                <w:tcPr>
                  <w:tcW w:w="3457" w:type="dxa"/>
                </w:tcPr>
                <w:p w14:paraId="1F54CBD9" w14:textId="7351EF07" w:rsidR="00651BE8" w:rsidRPr="0054287B" w:rsidRDefault="0054287B" w:rsidP="003070E6">
                  <w:pPr>
                    <w:pStyle w:val="Brezrazmikov"/>
                    <w:jc w:val="both"/>
                  </w:pPr>
                  <w:r w:rsidRPr="0054287B">
                    <w:t>P</w:t>
                  </w:r>
                  <w:r w:rsidRPr="0054287B">
                    <w:t>osebna pomoč za energetsko intenzivna podjetja</w:t>
                  </w:r>
                </w:p>
              </w:tc>
              <w:tc>
                <w:tcPr>
                  <w:tcW w:w="3457" w:type="dxa"/>
                </w:tcPr>
                <w:p w14:paraId="131CFFBE" w14:textId="0531D57C" w:rsidR="00651BE8" w:rsidRDefault="00BF1D2F" w:rsidP="003070E6">
                  <w:pPr>
                    <w:pStyle w:val="Brezrazmikov"/>
                    <w:jc w:val="both"/>
                  </w:pPr>
                  <w:r>
                    <w:t>/</w:t>
                  </w:r>
                </w:p>
              </w:tc>
              <w:tc>
                <w:tcPr>
                  <w:tcW w:w="3457" w:type="dxa"/>
                </w:tcPr>
                <w:p w14:paraId="5A8BC4D2" w14:textId="17D47DB1" w:rsidR="00651BE8" w:rsidRPr="00651BE8" w:rsidRDefault="0054287B" w:rsidP="003070E6">
                  <w:pPr>
                    <w:pStyle w:val="Brezrazmikov"/>
                    <w:jc w:val="both"/>
                  </w:pPr>
                  <w:r w:rsidRPr="0054287B">
                    <w:t>v višini 65 % upravičenih stroškov do skupne višine največ 50 milijonov EUR</w:t>
                  </w:r>
                </w:p>
              </w:tc>
            </w:tr>
            <w:tr w:rsidR="0054287B" w14:paraId="08C55620" w14:textId="77777777" w:rsidTr="00CE338C">
              <w:tc>
                <w:tcPr>
                  <w:tcW w:w="3457" w:type="dxa"/>
                </w:tcPr>
                <w:p w14:paraId="68E1192A" w14:textId="6D67D206" w:rsidR="0054287B" w:rsidRPr="00BF1D2F" w:rsidRDefault="00BF1D2F" w:rsidP="003070E6">
                  <w:pPr>
                    <w:pStyle w:val="Brezrazmikov"/>
                    <w:jc w:val="both"/>
                  </w:pPr>
                  <w:r w:rsidRPr="00BF1D2F">
                    <w:t>P</w:t>
                  </w:r>
                  <w:r w:rsidRPr="00BF1D2F">
                    <w:t>osebna pomoč za energetsko intenzivna podjetja v posebnih sektorjih</w:t>
                  </w:r>
                </w:p>
              </w:tc>
              <w:tc>
                <w:tcPr>
                  <w:tcW w:w="3457" w:type="dxa"/>
                </w:tcPr>
                <w:p w14:paraId="1E8F4F9B" w14:textId="63D7AD58" w:rsidR="0054287B" w:rsidRDefault="00BF1D2F" w:rsidP="003070E6">
                  <w:pPr>
                    <w:pStyle w:val="Brezrazmikov"/>
                    <w:jc w:val="both"/>
                  </w:pPr>
                  <w:r>
                    <w:t>/</w:t>
                  </w:r>
                </w:p>
              </w:tc>
              <w:tc>
                <w:tcPr>
                  <w:tcW w:w="3457" w:type="dxa"/>
                </w:tcPr>
                <w:p w14:paraId="7AED9DA2" w14:textId="7FE76F69" w:rsidR="0054287B" w:rsidRPr="0054287B" w:rsidRDefault="00BF1D2F" w:rsidP="003070E6">
                  <w:pPr>
                    <w:pStyle w:val="Brezrazmikov"/>
                    <w:jc w:val="both"/>
                  </w:pPr>
                  <w:r w:rsidRPr="00BF1D2F">
                    <w:t>v višini 80 % upravičenih stroškov do skupne višine največ 150 milijonov EUR</w:t>
                  </w:r>
                </w:p>
              </w:tc>
            </w:tr>
            <w:tr w:rsidR="00BF1D2F" w14:paraId="0E3F6494" w14:textId="77777777" w:rsidTr="00CE338C">
              <w:tc>
                <w:tcPr>
                  <w:tcW w:w="3457" w:type="dxa"/>
                </w:tcPr>
                <w:p w14:paraId="5427423E" w14:textId="77777777" w:rsidR="00BF1D2F" w:rsidRDefault="004B2163" w:rsidP="003070E6">
                  <w:pPr>
                    <w:pStyle w:val="Brezrazmikov"/>
                    <w:jc w:val="both"/>
                  </w:pPr>
                  <w:r w:rsidRPr="004B2163">
                    <w:t>Ukrep delnega povračila nadomestila plače zaradi skrajšanja polnega delovnega časa delavcem</w:t>
                  </w:r>
                </w:p>
                <w:p w14:paraId="7CE0FF55" w14:textId="6B07F616" w:rsidR="004B558D" w:rsidRPr="002550AB" w:rsidRDefault="004B558D" w:rsidP="003070E6">
                  <w:pPr>
                    <w:pStyle w:val="Brezrazmikov"/>
                    <w:jc w:val="both"/>
                  </w:pPr>
                  <w:r w:rsidRPr="004B558D">
                    <w:rPr>
                      <w:color w:val="FF0000"/>
                    </w:rPr>
                    <w:t xml:space="preserve">(možno </w:t>
                  </w:r>
                  <w:r w:rsidRPr="004B558D">
                    <w:rPr>
                      <w:color w:val="FF0000"/>
                    </w:rPr>
                    <w:t>od 1. januarja 2023 do 31. marca 2023</w:t>
                  </w:r>
                  <w:r>
                    <w:rPr>
                      <w:color w:val="FF0000"/>
                    </w:rPr>
                    <w:t xml:space="preserve"> – </w:t>
                  </w:r>
                  <w:r w:rsidR="00270438">
                    <w:rPr>
                      <w:color w:val="FF0000"/>
                    </w:rPr>
                    <w:t>obdobje</w:t>
                  </w:r>
                  <w:r>
                    <w:rPr>
                      <w:color w:val="FF0000"/>
                    </w:rPr>
                    <w:t xml:space="preserve"> lahko </w:t>
                  </w:r>
                  <w:r w:rsidR="00A517EF">
                    <w:rPr>
                      <w:color w:val="FF0000"/>
                    </w:rPr>
                    <w:t>V</w:t>
                  </w:r>
                  <w:r>
                    <w:rPr>
                      <w:color w:val="FF0000"/>
                    </w:rPr>
                    <w:t xml:space="preserve">lada podaljša največ </w:t>
                  </w:r>
                  <w:r w:rsidR="00270438">
                    <w:rPr>
                      <w:color w:val="FF0000"/>
                    </w:rPr>
                    <w:t>dvakrat za 1 mesec</w:t>
                  </w:r>
                  <w:r w:rsidRPr="004B558D">
                    <w:rPr>
                      <w:color w:val="FF0000"/>
                    </w:rPr>
                    <w:t>)</w:t>
                  </w:r>
                </w:p>
              </w:tc>
              <w:tc>
                <w:tcPr>
                  <w:tcW w:w="3457" w:type="dxa"/>
                </w:tcPr>
                <w:p w14:paraId="5EB049D3" w14:textId="71C88372" w:rsidR="00BF1D2F" w:rsidRDefault="002550AB" w:rsidP="003070E6">
                  <w:pPr>
                    <w:pStyle w:val="Brezrazmikov"/>
                    <w:jc w:val="both"/>
                  </w:pPr>
                  <w:r>
                    <w:t>/</w:t>
                  </w:r>
                </w:p>
              </w:tc>
              <w:tc>
                <w:tcPr>
                  <w:tcW w:w="3457" w:type="dxa"/>
                </w:tcPr>
                <w:p w14:paraId="15464E22" w14:textId="23280DFE" w:rsidR="006845D2" w:rsidRDefault="00C422AC" w:rsidP="003070E6">
                  <w:pPr>
                    <w:pStyle w:val="Brezrazmikov"/>
                    <w:jc w:val="both"/>
                  </w:pPr>
                  <w:r>
                    <w:t xml:space="preserve">Če po </w:t>
                  </w:r>
                  <w:r w:rsidR="006845D2" w:rsidRPr="006845D2">
                    <w:t>lastni oceni najmanj 10 % delavcev mesečno ne more zagotavljati najmanj 90 % dela</w:t>
                  </w:r>
                  <w:r w:rsidR="006845D2">
                    <w:t>.</w:t>
                  </w:r>
                </w:p>
                <w:p w14:paraId="52AD8E5B" w14:textId="673B2507" w:rsidR="00CD25CF" w:rsidRDefault="00CD25CF" w:rsidP="003070E6">
                  <w:pPr>
                    <w:pStyle w:val="Brezrazmikov"/>
                    <w:jc w:val="both"/>
                  </w:pPr>
                </w:p>
                <w:p w14:paraId="2C0D1DDD" w14:textId="2E1939C9" w:rsidR="00C422AC" w:rsidRPr="00BF1D2F" w:rsidRDefault="00CD25CF" w:rsidP="003070E6">
                  <w:pPr>
                    <w:pStyle w:val="Brezrazmikov"/>
                    <w:jc w:val="both"/>
                  </w:pPr>
                  <w:r w:rsidRPr="00CD25CF">
                    <w:t>Višina delnega povračila nadomestila plače s strani Republike Slovenije znaša 80 % izplačanega nadomestila plače z vsemi davki in prispevki delodajalca (bruto II). Delno povračilo nadomestila plače ne more biti višje od bruto povprečne plače v RS za mesec oktober 2022.</w:t>
                  </w:r>
                </w:p>
              </w:tc>
            </w:tr>
            <w:tr w:rsidR="00BF1D2F" w14:paraId="7ACBF893" w14:textId="77777777" w:rsidTr="00CE338C">
              <w:tc>
                <w:tcPr>
                  <w:tcW w:w="3457" w:type="dxa"/>
                </w:tcPr>
                <w:p w14:paraId="54886C46" w14:textId="70FE95DF" w:rsidR="00BF1D2F" w:rsidRPr="002550AB" w:rsidRDefault="002550AB" w:rsidP="003070E6">
                  <w:pPr>
                    <w:pStyle w:val="Brezrazmikov"/>
                    <w:jc w:val="both"/>
                  </w:pPr>
                  <w:r w:rsidRPr="002550AB">
                    <w:lastRenderedPageBreak/>
                    <w:t>Začasen ukrep delnega povračila nadomestila plače delavcem na začasnem čakanju na delo</w:t>
                  </w:r>
                </w:p>
              </w:tc>
              <w:tc>
                <w:tcPr>
                  <w:tcW w:w="3457" w:type="dxa"/>
                </w:tcPr>
                <w:p w14:paraId="10AEA987" w14:textId="34679AEF" w:rsidR="00BF1D2F" w:rsidRDefault="002550AB" w:rsidP="003070E6">
                  <w:pPr>
                    <w:pStyle w:val="Brezrazmikov"/>
                    <w:jc w:val="both"/>
                  </w:pPr>
                  <w:r>
                    <w:t>/</w:t>
                  </w:r>
                </w:p>
              </w:tc>
              <w:tc>
                <w:tcPr>
                  <w:tcW w:w="3457" w:type="dxa"/>
                </w:tcPr>
                <w:p w14:paraId="6BC1A5AE" w14:textId="77777777" w:rsidR="00BF1D2F" w:rsidRDefault="00ED3771" w:rsidP="007805E8">
                  <w:pPr>
                    <w:pStyle w:val="Brezrazmikov"/>
                    <w:jc w:val="both"/>
                  </w:pPr>
                  <w:r>
                    <w:t>Napotitev delavca za največ 30 dni</w:t>
                  </w:r>
                  <w:r w:rsidR="004C7BF0">
                    <w:t>.</w:t>
                  </w:r>
                </w:p>
                <w:p w14:paraId="197E34AF" w14:textId="1D0E16A9" w:rsidR="004C7BF0" w:rsidRDefault="004C7BF0" w:rsidP="004C7BF0">
                  <w:pPr>
                    <w:pStyle w:val="Brezrazmikov"/>
                    <w:jc w:val="both"/>
                  </w:pPr>
                  <w:r w:rsidRPr="004C7BF0">
                    <w:t>Pravice do delnega povračila nadomestila plače delodajalec ne more uveljaviti za delavca, ki je pri tem delodajalcu v delovnem razmerju od 1.</w:t>
                  </w:r>
                  <w:r>
                    <w:t>1.</w:t>
                  </w:r>
                  <w:r w:rsidRPr="004C7BF0">
                    <w:t>2023 dalje in za delavca, za katerega prejema subvencijo plače iz programov, sofinanciranih iz proračuna Republike Slovenije ali kohezijskih sredstev.</w:t>
                  </w:r>
                  <w:r>
                    <w:t xml:space="preserve"> </w:t>
                  </w:r>
                </w:p>
                <w:p w14:paraId="40881F8C" w14:textId="412F02A5" w:rsidR="00D96F64" w:rsidRDefault="00D96F64" w:rsidP="004C7BF0">
                  <w:pPr>
                    <w:pStyle w:val="Brezrazmikov"/>
                    <w:jc w:val="both"/>
                  </w:pPr>
                </w:p>
                <w:p w14:paraId="4385440A" w14:textId="775E2217" w:rsidR="00D96F64" w:rsidRDefault="00D96F64" w:rsidP="004C7BF0">
                  <w:pPr>
                    <w:pStyle w:val="Brezrazmikov"/>
                    <w:jc w:val="both"/>
                  </w:pPr>
                  <w:r w:rsidRPr="00D96F64">
                    <w:t>Višina delnega povračila nadomestila plače znaša 80 % nadomestila plače in je omejena na z višino povprečne bruto mesečne plače za mesec oktober 2022 v RS.</w:t>
                  </w:r>
                </w:p>
                <w:p w14:paraId="024D8508" w14:textId="72F53475" w:rsidR="00D96F64" w:rsidRDefault="00D96F64" w:rsidP="004C7BF0">
                  <w:pPr>
                    <w:pStyle w:val="Brezrazmikov"/>
                    <w:jc w:val="both"/>
                  </w:pPr>
                </w:p>
                <w:p w14:paraId="17AA4955" w14:textId="706EA590" w:rsidR="004C7BF0" w:rsidRPr="00BF1D2F" w:rsidRDefault="00D96F64" w:rsidP="007805E8">
                  <w:pPr>
                    <w:pStyle w:val="Brezrazmikov"/>
                    <w:jc w:val="both"/>
                  </w:pPr>
                  <w:r w:rsidRPr="00D96F64">
                    <w:t>Pogoj vlaganja prejetih sredstev v zeleni prehod</w:t>
                  </w:r>
                  <w:r>
                    <w:t>;</w:t>
                  </w:r>
                  <w:r w:rsidRPr="00D96F64">
                    <w:t xml:space="preserve"> 50 % sredstev v 30 mesecih od dneva vložitve prvega zahtevka za delno povračilo nadomestila plače. </w:t>
                  </w:r>
                </w:p>
              </w:tc>
            </w:tr>
          </w:tbl>
          <w:p w14:paraId="00A6BA0D" w14:textId="77777777" w:rsidR="00E14F26" w:rsidRPr="003070E6" w:rsidRDefault="00E14F26" w:rsidP="003070E6">
            <w:pPr>
              <w:pStyle w:val="Brezrazmikov"/>
              <w:jc w:val="both"/>
            </w:pPr>
          </w:p>
        </w:tc>
      </w:tr>
      <w:tr w:rsidR="00E14F26" w14:paraId="41A33A4D" w14:textId="77777777" w:rsidTr="00E358B0">
        <w:tc>
          <w:tcPr>
            <w:tcW w:w="3397" w:type="dxa"/>
          </w:tcPr>
          <w:p w14:paraId="3630AA5E" w14:textId="77777777" w:rsidR="00E14F26" w:rsidRDefault="00E14F26" w:rsidP="00E358B0">
            <w:pPr>
              <w:pStyle w:val="Brezrazmikov"/>
              <w:jc w:val="both"/>
            </w:pPr>
          </w:p>
        </w:tc>
        <w:tc>
          <w:tcPr>
            <w:tcW w:w="10597" w:type="dxa"/>
          </w:tcPr>
          <w:p w14:paraId="0404A7BA" w14:textId="77777777" w:rsidR="00E14F26" w:rsidRPr="00E358B0" w:rsidRDefault="00E14F26" w:rsidP="00E358B0">
            <w:pPr>
              <w:pStyle w:val="Brezrazmikov"/>
              <w:jc w:val="center"/>
              <w:rPr>
                <w:b/>
                <w:bCs/>
                <w:i/>
                <w:iCs/>
              </w:rPr>
            </w:pPr>
          </w:p>
        </w:tc>
      </w:tr>
      <w:tr w:rsidR="00E14F26" w14:paraId="6E34D1A8" w14:textId="77777777" w:rsidTr="00E358B0">
        <w:tc>
          <w:tcPr>
            <w:tcW w:w="3397" w:type="dxa"/>
          </w:tcPr>
          <w:p w14:paraId="6825211E" w14:textId="3C58E947" w:rsidR="00E14F26" w:rsidRPr="005104A9" w:rsidRDefault="005403ED" w:rsidP="00E358B0">
            <w:pPr>
              <w:pStyle w:val="Brezrazmikov"/>
              <w:jc w:val="both"/>
              <w:rPr>
                <w:b/>
                <w:bCs/>
              </w:rPr>
            </w:pPr>
            <w:hyperlink r:id="rId8" w:history="1">
              <w:r w:rsidR="009F2ABE" w:rsidRPr="005104A9">
                <w:rPr>
                  <w:rStyle w:val="Hiperpovezava"/>
                  <w:b/>
                  <w:bCs/>
                </w:rPr>
                <w:t>Uredba o določitvi cene električne energije za mirko, mala in srednja podjetja</w:t>
              </w:r>
            </w:hyperlink>
          </w:p>
          <w:p w14:paraId="7E1464DE" w14:textId="6CCE7C29" w:rsidR="005403ED" w:rsidRDefault="00547CCE" w:rsidP="00E358B0">
            <w:pPr>
              <w:pStyle w:val="Brezrazmikov"/>
              <w:jc w:val="both"/>
            </w:pPr>
            <w:r>
              <w:t xml:space="preserve">(velja od </w:t>
            </w:r>
            <w:r w:rsidR="005104A9">
              <w:t>1.1.2023 do 30.6.2023)</w:t>
            </w:r>
          </w:p>
          <w:p w14:paraId="487E19F2" w14:textId="77777777" w:rsidR="005104A9" w:rsidRDefault="005104A9" w:rsidP="00E358B0">
            <w:pPr>
              <w:pStyle w:val="Brezrazmikov"/>
              <w:jc w:val="both"/>
            </w:pPr>
          </w:p>
          <w:p w14:paraId="630C3FBE" w14:textId="1B9F899A" w:rsidR="00352A66" w:rsidRDefault="00352A66" w:rsidP="00E358B0">
            <w:pPr>
              <w:pStyle w:val="Brezrazmikov"/>
              <w:jc w:val="both"/>
            </w:pPr>
            <w:r w:rsidRPr="00872794">
              <w:rPr>
                <w:color w:val="FF0000"/>
              </w:rPr>
              <w:t xml:space="preserve">Velja izključno za podjetja, ki </w:t>
            </w:r>
            <w:r w:rsidR="00AA3AD5">
              <w:rPr>
                <w:color w:val="FF0000"/>
              </w:rPr>
              <w:t>so</w:t>
            </w:r>
            <w:r w:rsidRPr="00872794">
              <w:rPr>
                <w:color w:val="FF0000"/>
              </w:rPr>
              <w:t xml:space="preserve"> mikro, mala in srednja po </w:t>
            </w:r>
            <w:r w:rsidR="00872794" w:rsidRPr="00872794">
              <w:rPr>
                <w:color w:val="FF0000"/>
              </w:rPr>
              <w:t xml:space="preserve">2. členu </w:t>
            </w:r>
            <w:r w:rsidR="00872794" w:rsidRPr="00872794">
              <w:rPr>
                <w:color w:val="FF0000"/>
              </w:rPr>
              <w:lastRenderedPageBreak/>
              <w:t>Priloge k Priporočilu Komisije 2003/361/ES.</w:t>
            </w:r>
          </w:p>
        </w:tc>
        <w:tc>
          <w:tcPr>
            <w:tcW w:w="10597" w:type="dxa"/>
          </w:tcPr>
          <w:tbl>
            <w:tblPr>
              <w:tblStyle w:val="Tabelamrea"/>
              <w:tblW w:w="0" w:type="auto"/>
              <w:tblLook w:val="04A0" w:firstRow="1" w:lastRow="0" w:firstColumn="1" w:lastColumn="0" w:noHBand="0" w:noVBand="1"/>
            </w:tblPr>
            <w:tblGrid>
              <w:gridCol w:w="3457"/>
              <w:gridCol w:w="3457"/>
              <w:gridCol w:w="3457"/>
            </w:tblGrid>
            <w:tr w:rsidR="005403ED" w14:paraId="7D061E3B" w14:textId="77777777" w:rsidTr="00CE338C">
              <w:tc>
                <w:tcPr>
                  <w:tcW w:w="3457" w:type="dxa"/>
                  <w:shd w:val="clear" w:color="auto" w:fill="E7E6E6" w:themeFill="background2"/>
                </w:tcPr>
                <w:p w14:paraId="51FCF5E8" w14:textId="77777777" w:rsidR="005403ED" w:rsidRPr="00E358B0" w:rsidRDefault="005403ED" w:rsidP="005403ED">
                  <w:pPr>
                    <w:pStyle w:val="Brezrazmikov"/>
                    <w:jc w:val="center"/>
                    <w:rPr>
                      <w:b/>
                      <w:bCs/>
                      <w:i/>
                      <w:iCs/>
                    </w:rPr>
                  </w:pPr>
                  <w:r w:rsidRPr="00E358B0">
                    <w:rPr>
                      <w:b/>
                      <w:bCs/>
                      <w:i/>
                      <w:iCs/>
                    </w:rPr>
                    <w:lastRenderedPageBreak/>
                    <w:t>UKREP</w:t>
                  </w:r>
                </w:p>
              </w:tc>
              <w:tc>
                <w:tcPr>
                  <w:tcW w:w="3457" w:type="dxa"/>
                  <w:shd w:val="clear" w:color="auto" w:fill="E7E6E6" w:themeFill="background2"/>
                </w:tcPr>
                <w:p w14:paraId="707294ED" w14:textId="77777777" w:rsidR="005403ED" w:rsidRPr="00E358B0" w:rsidRDefault="005403ED" w:rsidP="005403ED">
                  <w:pPr>
                    <w:pStyle w:val="Brezrazmikov"/>
                    <w:jc w:val="center"/>
                    <w:rPr>
                      <w:b/>
                      <w:bCs/>
                      <w:i/>
                      <w:iCs/>
                    </w:rPr>
                  </w:pPr>
                  <w:r w:rsidRPr="00E358B0">
                    <w:rPr>
                      <w:b/>
                      <w:bCs/>
                      <w:i/>
                      <w:iCs/>
                    </w:rPr>
                    <w:t>GOSPODINJSTVA</w:t>
                  </w:r>
                </w:p>
              </w:tc>
              <w:tc>
                <w:tcPr>
                  <w:tcW w:w="3457" w:type="dxa"/>
                  <w:shd w:val="clear" w:color="auto" w:fill="E7E6E6" w:themeFill="background2"/>
                </w:tcPr>
                <w:p w14:paraId="76C84B85" w14:textId="77777777" w:rsidR="005403ED" w:rsidRPr="00E358B0" w:rsidRDefault="005403ED" w:rsidP="005403ED">
                  <w:pPr>
                    <w:pStyle w:val="Brezrazmikov"/>
                    <w:jc w:val="center"/>
                    <w:rPr>
                      <w:b/>
                      <w:bCs/>
                      <w:i/>
                      <w:iCs/>
                    </w:rPr>
                  </w:pPr>
                  <w:r w:rsidRPr="00E358B0">
                    <w:rPr>
                      <w:b/>
                      <w:bCs/>
                      <w:i/>
                      <w:iCs/>
                    </w:rPr>
                    <w:t>GOSPODARSTVO</w:t>
                  </w:r>
                </w:p>
              </w:tc>
            </w:tr>
            <w:tr w:rsidR="005403ED" w14:paraId="4339F5F8" w14:textId="77777777" w:rsidTr="00CE338C">
              <w:tc>
                <w:tcPr>
                  <w:tcW w:w="3457" w:type="dxa"/>
                </w:tcPr>
                <w:p w14:paraId="3AF9897A" w14:textId="77777777" w:rsidR="005403ED" w:rsidRDefault="005403ED" w:rsidP="005403ED">
                  <w:pPr>
                    <w:pStyle w:val="Brezrazmikov"/>
                    <w:jc w:val="both"/>
                  </w:pPr>
                  <w:r w:rsidRPr="00E358B0">
                    <w:t>Najvišja</w:t>
                  </w:r>
                  <w:r w:rsidR="00FB13EE">
                    <w:t xml:space="preserve"> </w:t>
                  </w:r>
                  <w:r w:rsidRPr="00E358B0">
                    <w:t xml:space="preserve">drobnoprodajna cena </w:t>
                  </w:r>
                  <w:r w:rsidR="00FB13EE">
                    <w:t>za</w:t>
                  </w:r>
                  <w:r w:rsidR="00771BBC">
                    <w:t xml:space="preserve"> omejeno količino električne energije</w:t>
                  </w:r>
                </w:p>
                <w:p w14:paraId="51831875" w14:textId="77777777" w:rsidR="00542C6E" w:rsidRDefault="00542C6E" w:rsidP="005403ED">
                  <w:pPr>
                    <w:pStyle w:val="Brezrazmikov"/>
                    <w:jc w:val="both"/>
                  </w:pPr>
                </w:p>
                <w:p w14:paraId="6EC2B371" w14:textId="5A157B66" w:rsidR="00542C6E" w:rsidRDefault="00542C6E" w:rsidP="005403ED">
                  <w:pPr>
                    <w:pStyle w:val="Brezrazmikov"/>
                    <w:jc w:val="both"/>
                  </w:pPr>
                  <w:r w:rsidRPr="00352A66">
                    <w:rPr>
                      <w:color w:val="FF0000"/>
                    </w:rPr>
                    <w:t xml:space="preserve">Cena velja za </w:t>
                  </w:r>
                  <w:r w:rsidR="00D24D3D" w:rsidRPr="00352A66">
                    <w:rPr>
                      <w:color w:val="FF0000"/>
                    </w:rPr>
                    <w:t xml:space="preserve">90 % porabljene električne energije odjemalca za isti </w:t>
                  </w:r>
                  <w:r w:rsidR="00D24D3D" w:rsidRPr="00352A66">
                    <w:rPr>
                      <w:color w:val="FF0000"/>
                    </w:rPr>
                    <w:lastRenderedPageBreak/>
                    <w:t>mesec v obdobju od 1.</w:t>
                  </w:r>
                  <w:r w:rsidR="00352A66" w:rsidRPr="00352A66">
                    <w:rPr>
                      <w:color w:val="FF0000"/>
                    </w:rPr>
                    <w:t>7.2021 do 30.6.2022, za vsako tarifo posebej.</w:t>
                  </w:r>
                  <w:r w:rsidR="00D24D3D" w:rsidRPr="00352A66">
                    <w:rPr>
                      <w:color w:val="FF0000"/>
                    </w:rPr>
                    <w:t xml:space="preserve"> </w:t>
                  </w:r>
                </w:p>
              </w:tc>
              <w:tc>
                <w:tcPr>
                  <w:tcW w:w="3457" w:type="dxa"/>
                </w:tcPr>
                <w:p w14:paraId="3E6AF98D" w14:textId="7A0E6DE2" w:rsidR="005403ED" w:rsidRDefault="00872794" w:rsidP="005403ED">
                  <w:pPr>
                    <w:pStyle w:val="Brezrazmikov"/>
                    <w:jc w:val="both"/>
                  </w:pPr>
                  <w:r>
                    <w:lastRenderedPageBreak/>
                    <w:t>/</w:t>
                  </w:r>
                </w:p>
              </w:tc>
              <w:tc>
                <w:tcPr>
                  <w:tcW w:w="3457" w:type="dxa"/>
                </w:tcPr>
                <w:p w14:paraId="22DA5E78" w14:textId="77777777" w:rsidR="00771BBC" w:rsidRDefault="00771BBC" w:rsidP="00771BBC">
                  <w:pPr>
                    <w:pStyle w:val="Brezrazmikov"/>
                    <w:numPr>
                      <w:ilvl w:val="0"/>
                      <w:numId w:val="11"/>
                    </w:numPr>
                    <w:jc w:val="both"/>
                  </w:pPr>
                  <w:r>
                    <w:t>za višjo dnevno tarifno postavko 0,21700 EUR/kWh,</w:t>
                  </w:r>
                </w:p>
                <w:p w14:paraId="7CADB230" w14:textId="77777777" w:rsidR="00771BBC" w:rsidRDefault="00771BBC" w:rsidP="00771BBC">
                  <w:pPr>
                    <w:pStyle w:val="Brezrazmikov"/>
                    <w:numPr>
                      <w:ilvl w:val="0"/>
                      <w:numId w:val="11"/>
                    </w:numPr>
                    <w:jc w:val="both"/>
                  </w:pPr>
                  <w:r>
                    <w:t>za nižjo dnevno tarifno postavko 0,15550 EUR/kWh,</w:t>
                  </w:r>
                </w:p>
                <w:p w14:paraId="28F467AC" w14:textId="52E029BA" w:rsidR="005403ED" w:rsidRDefault="00771BBC" w:rsidP="00771BBC">
                  <w:pPr>
                    <w:pStyle w:val="Brezrazmikov"/>
                    <w:numPr>
                      <w:ilvl w:val="0"/>
                      <w:numId w:val="11"/>
                    </w:numPr>
                    <w:jc w:val="both"/>
                  </w:pPr>
                  <w:r>
                    <w:lastRenderedPageBreak/>
                    <w:t>za enotno tarifno postavko 0,19500 EUR/kWh.</w:t>
                  </w:r>
                </w:p>
              </w:tc>
            </w:tr>
          </w:tbl>
          <w:p w14:paraId="67F647FE" w14:textId="77777777" w:rsidR="00E14F26" w:rsidRPr="005403ED" w:rsidRDefault="00E14F26" w:rsidP="005403ED">
            <w:pPr>
              <w:pStyle w:val="Brezrazmikov"/>
              <w:jc w:val="both"/>
            </w:pPr>
          </w:p>
        </w:tc>
      </w:tr>
      <w:tr w:rsidR="00E24E94" w14:paraId="26F059F0" w14:textId="77777777" w:rsidTr="00E358B0">
        <w:tc>
          <w:tcPr>
            <w:tcW w:w="3397" w:type="dxa"/>
          </w:tcPr>
          <w:p w14:paraId="19DDD1ED" w14:textId="77777777" w:rsidR="00E24E94" w:rsidRDefault="00E24E94" w:rsidP="00E358B0">
            <w:pPr>
              <w:pStyle w:val="Brezrazmikov"/>
              <w:jc w:val="both"/>
            </w:pPr>
          </w:p>
        </w:tc>
        <w:tc>
          <w:tcPr>
            <w:tcW w:w="10597" w:type="dxa"/>
          </w:tcPr>
          <w:p w14:paraId="6DCB2FA9" w14:textId="77777777" w:rsidR="00E24E94" w:rsidRPr="00E358B0" w:rsidRDefault="00E24E94" w:rsidP="00E358B0">
            <w:pPr>
              <w:pStyle w:val="Brezrazmikov"/>
              <w:jc w:val="center"/>
              <w:rPr>
                <w:b/>
                <w:bCs/>
                <w:i/>
                <w:iCs/>
              </w:rPr>
            </w:pPr>
          </w:p>
        </w:tc>
      </w:tr>
      <w:tr w:rsidR="00E358B0" w14:paraId="6F7CB2F6" w14:textId="77777777" w:rsidTr="00E358B0">
        <w:tc>
          <w:tcPr>
            <w:tcW w:w="3397" w:type="dxa"/>
          </w:tcPr>
          <w:p w14:paraId="4BCD964D" w14:textId="77777777" w:rsidR="00E358B0" w:rsidRDefault="00AA3AD5" w:rsidP="00E358B0">
            <w:pPr>
              <w:pStyle w:val="Brezrazmikov"/>
              <w:jc w:val="both"/>
              <w:rPr>
                <w:b/>
                <w:bCs/>
              </w:rPr>
            </w:pPr>
            <w:hyperlink r:id="rId9" w:history="1">
              <w:r w:rsidR="00E358B0" w:rsidRPr="00E358B0">
                <w:rPr>
                  <w:rStyle w:val="Hiperpovezava"/>
                  <w:b/>
                  <w:bCs/>
                </w:rPr>
                <w:t>Uredba o določitvi cen zemeljskega plina iz plinskega sistema </w:t>
              </w:r>
            </w:hyperlink>
          </w:p>
          <w:p w14:paraId="0481E2B2" w14:textId="77777777" w:rsidR="00E358B0" w:rsidRDefault="00E358B0" w:rsidP="00E358B0">
            <w:pPr>
              <w:pStyle w:val="Brezrazmikov"/>
              <w:jc w:val="both"/>
            </w:pPr>
            <w:r w:rsidRPr="00E358B0">
              <w:t>(velja do 31. avgusta 2023)</w:t>
            </w:r>
          </w:p>
          <w:p w14:paraId="5F37A8EF" w14:textId="77777777" w:rsidR="00F0624D" w:rsidRDefault="00F0624D" w:rsidP="00E358B0">
            <w:pPr>
              <w:pStyle w:val="Brezrazmikov"/>
              <w:jc w:val="both"/>
            </w:pPr>
          </w:p>
          <w:p w14:paraId="064CBD70" w14:textId="30D57597" w:rsidR="00F0624D" w:rsidRPr="00F0624D" w:rsidRDefault="00F0624D" w:rsidP="00F0624D">
            <w:pPr>
              <w:pStyle w:val="Brezrazmikov"/>
              <w:rPr>
                <w:color w:val="FF0000"/>
              </w:rPr>
            </w:pPr>
            <w:r w:rsidRPr="00F0624D">
              <w:rPr>
                <w:color w:val="FF0000"/>
              </w:rPr>
              <w:t>Na letni ravni bo povprečni gospodinjski odjemalec, ki odjema plin pri cenejših dobaviteljih, prihranil od 90 do 130 evrov ali okoli 10 %, tisti, ki pa imajo sklenjene pogodbe z dražjimi dobavitelji, pa od 170 do 675 evrov ali od 13 do 37 %.</w:t>
            </w:r>
          </w:p>
          <w:p w14:paraId="02BF81D7" w14:textId="70C13C06" w:rsidR="00F0624D" w:rsidRPr="00E358B0" w:rsidRDefault="00F0624D" w:rsidP="00F0624D">
            <w:pPr>
              <w:pStyle w:val="Brezrazmikov"/>
              <w:jc w:val="both"/>
            </w:pPr>
            <w:r w:rsidRPr="00F0624D">
              <w:rPr>
                <w:color w:val="FF0000"/>
              </w:rPr>
              <w:t xml:space="preserve">Povprečni mali poslovni odjemalci, ki imajo sklenjene pogodbe s cenejšimi dobavitelji, bodo medtem na letni ravni prihranili od 205 do 313 evrov ali 10 %, vsi mali poslovni odjemalci s pogodbami pri dražjih dobaviteljih pa od 350 do 1420 evrov ali 11 do 34 % na leto. </w:t>
            </w:r>
          </w:p>
        </w:tc>
        <w:tc>
          <w:tcPr>
            <w:tcW w:w="10597" w:type="dxa"/>
          </w:tcPr>
          <w:tbl>
            <w:tblPr>
              <w:tblStyle w:val="Tabelamrea"/>
              <w:tblW w:w="0" w:type="auto"/>
              <w:tblLook w:val="04A0" w:firstRow="1" w:lastRow="0" w:firstColumn="1" w:lastColumn="0" w:noHBand="0" w:noVBand="1"/>
            </w:tblPr>
            <w:tblGrid>
              <w:gridCol w:w="3457"/>
              <w:gridCol w:w="3457"/>
              <w:gridCol w:w="3457"/>
            </w:tblGrid>
            <w:tr w:rsidR="00E358B0" w14:paraId="50CB74DC" w14:textId="77777777" w:rsidTr="00E358B0">
              <w:tc>
                <w:tcPr>
                  <w:tcW w:w="3457" w:type="dxa"/>
                  <w:shd w:val="clear" w:color="auto" w:fill="E7E6E6" w:themeFill="background2"/>
                </w:tcPr>
                <w:p w14:paraId="671F0776" w14:textId="254100D3" w:rsidR="00E358B0" w:rsidRPr="00E358B0" w:rsidRDefault="00E358B0" w:rsidP="00E358B0">
                  <w:pPr>
                    <w:pStyle w:val="Brezrazmikov"/>
                    <w:jc w:val="center"/>
                    <w:rPr>
                      <w:b/>
                      <w:bCs/>
                      <w:i/>
                      <w:iCs/>
                    </w:rPr>
                  </w:pPr>
                  <w:bookmarkStart w:id="0" w:name="_Hlk126059502"/>
                  <w:r w:rsidRPr="00E358B0">
                    <w:rPr>
                      <w:b/>
                      <w:bCs/>
                      <w:i/>
                      <w:iCs/>
                    </w:rPr>
                    <w:t>UKREP</w:t>
                  </w:r>
                </w:p>
              </w:tc>
              <w:tc>
                <w:tcPr>
                  <w:tcW w:w="3457" w:type="dxa"/>
                  <w:shd w:val="clear" w:color="auto" w:fill="E7E6E6" w:themeFill="background2"/>
                </w:tcPr>
                <w:p w14:paraId="2C6E2F35" w14:textId="4305E27E" w:rsidR="00E358B0" w:rsidRPr="00E358B0" w:rsidRDefault="00E358B0" w:rsidP="00E358B0">
                  <w:pPr>
                    <w:pStyle w:val="Brezrazmikov"/>
                    <w:jc w:val="center"/>
                    <w:rPr>
                      <w:b/>
                      <w:bCs/>
                      <w:i/>
                      <w:iCs/>
                    </w:rPr>
                  </w:pPr>
                  <w:r w:rsidRPr="00E358B0">
                    <w:rPr>
                      <w:b/>
                      <w:bCs/>
                      <w:i/>
                      <w:iCs/>
                    </w:rPr>
                    <w:t>GOSPODINJSTVA</w:t>
                  </w:r>
                </w:p>
              </w:tc>
              <w:tc>
                <w:tcPr>
                  <w:tcW w:w="3457" w:type="dxa"/>
                  <w:shd w:val="clear" w:color="auto" w:fill="E7E6E6" w:themeFill="background2"/>
                </w:tcPr>
                <w:p w14:paraId="1A15C8F7" w14:textId="6CEC79EC" w:rsidR="00E358B0" w:rsidRPr="00E358B0" w:rsidRDefault="00E358B0" w:rsidP="00E358B0">
                  <w:pPr>
                    <w:pStyle w:val="Brezrazmikov"/>
                    <w:jc w:val="center"/>
                    <w:rPr>
                      <w:b/>
                      <w:bCs/>
                      <w:i/>
                      <w:iCs/>
                    </w:rPr>
                  </w:pPr>
                  <w:r w:rsidRPr="00E358B0">
                    <w:rPr>
                      <w:b/>
                      <w:bCs/>
                      <w:i/>
                      <w:iCs/>
                    </w:rPr>
                    <w:t>GOSPODARSTVO</w:t>
                  </w:r>
                </w:p>
              </w:tc>
            </w:tr>
            <w:tr w:rsidR="00E358B0" w14:paraId="5E5E7DAE" w14:textId="77777777" w:rsidTr="00E358B0">
              <w:tc>
                <w:tcPr>
                  <w:tcW w:w="3457" w:type="dxa"/>
                </w:tcPr>
                <w:p w14:paraId="284F008D" w14:textId="5566298C" w:rsidR="00E358B0" w:rsidRDefault="00E358B0" w:rsidP="00E358B0">
                  <w:pPr>
                    <w:pStyle w:val="Brezrazmikov"/>
                    <w:jc w:val="both"/>
                  </w:pPr>
                  <w:r w:rsidRPr="00E358B0">
                    <w:t>Najvišja dovoljena drobnoprodajna cena zemeljskega plina</w:t>
                  </w:r>
                </w:p>
              </w:tc>
              <w:tc>
                <w:tcPr>
                  <w:tcW w:w="3457" w:type="dxa"/>
                </w:tcPr>
                <w:p w14:paraId="79D4F8E3" w14:textId="262B2521" w:rsidR="00E358B0" w:rsidRDefault="00E358B0" w:rsidP="00E358B0">
                  <w:pPr>
                    <w:pStyle w:val="Brezrazmikov"/>
                    <w:jc w:val="both"/>
                  </w:pPr>
                  <w:r w:rsidRPr="00E358B0">
                    <w:t>0,073 €/kWh</w:t>
                  </w:r>
                </w:p>
              </w:tc>
              <w:tc>
                <w:tcPr>
                  <w:tcW w:w="3457" w:type="dxa"/>
                </w:tcPr>
                <w:p w14:paraId="7A5D0A3B" w14:textId="514D03B3" w:rsidR="00E358B0" w:rsidRDefault="00E358B0" w:rsidP="00E358B0">
                  <w:pPr>
                    <w:pStyle w:val="Brezrazmikov"/>
                    <w:jc w:val="both"/>
                  </w:pPr>
                  <w:r>
                    <w:t>M</w:t>
                  </w:r>
                  <w:r w:rsidRPr="00E358B0">
                    <w:t>al</w:t>
                  </w:r>
                  <w:r>
                    <w:t>i</w:t>
                  </w:r>
                  <w:r w:rsidRPr="00E358B0">
                    <w:t xml:space="preserve"> poslovn</w:t>
                  </w:r>
                  <w:r>
                    <w:t>i</w:t>
                  </w:r>
                  <w:r w:rsidRPr="00E358B0">
                    <w:t xml:space="preserve"> odjemalc</w:t>
                  </w:r>
                  <w:r>
                    <w:t xml:space="preserve">i - </w:t>
                  </w:r>
                  <w:r w:rsidRPr="00E358B0">
                    <w:t>0,079 €/kWh</w:t>
                  </w:r>
                </w:p>
              </w:tc>
            </w:tr>
            <w:bookmarkEnd w:id="0"/>
          </w:tbl>
          <w:p w14:paraId="07E4CC42" w14:textId="77777777" w:rsidR="00E358B0" w:rsidRDefault="00E358B0" w:rsidP="00E358B0">
            <w:pPr>
              <w:pStyle w:val="Brezrazmikov"/>
              <w:jc w:val="both"/>
            </w:pPr>
          </w:p>
        </w:tc>
      </w:tr>
      <w:tr w:rsidR="00E358B0" w14:paraId="4258881C" w14:textId="77777777" w:rsidTr="00E358B0">
        <w:tc>
          <w:tcPr>
            <w:tcW w:w="3397" w:type="dxa"/>
          </w:tcPr>
          <w:p w14:paraId="1DEA74A9" w14:textId="77777777" w:rsidR="00E358B0" w:rsidRDefault="00E358B0" w:rsidP="00E358B0">
            <w:pPr>
              <w:pStyle w:val="Brezrazmikov"/>
              <w:jc w:val="both"/>
            </w:pPr>
          </w:p>
        </w:tc>
        <w:tc>
          <w:tcPr>
            <w:tcW w:w="10597" w:type="dxa"/>
          </w:tcPr>
          <w:p w14:paraId="468A4A7D" w14:textId="77777777" w:rsidR="00E358B0" w:rsidRDefault="00E358B0" w:rsidP="00E358B0">
            <w:pPr>
              <w:pStyle w:val="Brezrazmikov"/>
              <w:jc w:val="both"/>
            </w:pPr>
          </w:p>
        </w:tc>
      </w:tr>
      <w:tr w:rsidR="00E358B0" w14:paraId="6EE40D78" w14:textId="77777777" w:rsidTr="00E358B0">
        <w:tc>
          <w:tcPr>
            <w:tcW w:w="3397" w:type="dxa"/>
          </w:tcPr>
          <w:p w14:paraId="2A2CDCF0" w14:textId="77777777" w:rsidR="00E358B0" w:rsidRDefault="00AA3AD5" w:rsidP="00E358B0">
            <w:pPr>
              <w:pStyle w:val="Brezrazmikov"/>
              <w:jc w:val="both"/>
              <w:rPr>
                <w:b/>
                <w:bCs/>
              </w:rPr>
            </w:pPr>
            <w:hyperlink r:id="rId10" w:history="1">
              <w:r w:rsidR="00E358B0" w:rsidRPr="00E358B0">
                <w:rPr>
                  <w:rStyle w:val="Hiperpovezava"/>
                  <w:b/>
                  <w:bCs/>
                </w:rPr>
                <w:t>Zakon o pomoči gospodarstvu zaradi visokih povišanj cen električne energije in zemeljskega plina (ZPGVCEP)</w:t>
              </w:r>
            </w:hyperlink>
          </w:p>
          <w:p w14:paraId="15F0FB35" w14:textId="77777777" w:rsidR="0034666C" w:rsidRDefault="0034666C" w:rsidP="00E358B0">
            <w:pPr>
              <w:pStyle w:val="Brezrazmikov"/>
              <w:jc w:val="both"/>
              <w:rPr>
                <w:b/>
                <w:bCs/>
              </w:rPr>
            </w:pPr>
          </w:p>
          <w:p w14:paraId="4C4BDB17" w14:textId="77777777" w:rsidR="0034666C" w:rsidRDefault="0034666C" w:rsidP="00E358B0">
            <w:pPr>
              <w:pStyle w:val="Brezrazmikov"/>
              <w:jc w:val="both"/>
            </w:pPr>
            <w:r w:rsidRPr="0034666C">
              <w:t>Upravičeno obdobje: 1. junija 2022 do 31. decembra 2022</w:t>
            </w:r>
          </w:p>
          <w:p w14:paraId="28356275" w14:textId="77777777" w:rsidR="00324677" w:rsidRDefault="00324677" w:rsidP="00E358B0">
            <w:pPr>
              <w:pStyle w:val="Brezrazmikov"/>
              <w:jc w:val="both"/>
            </w:pPr>
          </w:p>
          <w:p w14:paraId="596A66D3" w14:textId="2AE2AC01" w:rsidR="00324677" w:rsidRPr="0034666C" w:rsidRDefault="00324677" w:rsidP="00E358B0">
            <w:pPr>
              <w:pStyle w:val="Brezrazmikov"/>
              <w:jc w:val="both"/>
            </w:pPr>
            <w:r w:rsidRPr="00575DA0">
              <w:rPr>
                <w:color w:val="FF0000"/>
              </w:rPr>
              <w:lastRenderedPageBreak/>
              <w:t xml:space="preserve">Po oceni Vlade RS: </w:t>
            </w:r>
            <w:r w:rsidR="00575DA0" w:rsidRPr="00575DA0">
              <w:rPr>
                <w:color w:val="FF0000"/>
              </w:rPr>
              <w:t xml:space="preserve">finančni učinki so ocenjeni na </w:t>
            </w:r>
            <w:r w:rsidR="00575DA0">
              <w:rPr>
                <w:color w:val="FF0000"/>
              </w:rPr>
              <w:t xml:space="preserve">80 </w:t>
            </w:r>
            <w:r w:rsidR="00017644">
              <w:rPr>
                <w:color w:val="FF0000"/>
              </w:rPr>
              <w:t>mio</w:t>
            </w:r>
            <w:r w:rsidR="00575DA0">
              <w:rPr>
                <w:color w:val="FF0000"/>
              </w:rPr>
              <w:t xml:space="preserve"> EUR za pomoč gospodarstvu (enostavna pomoč</w:t>
            </w:r>
            <w:r w:rsidR="00F7225D">
              <w:rPr>
                <w:color w:val="FF0000"/>
              </w:rPr>
              <w:t xml:space="preserve">, posebna pomoč in pomoč za energetsko intenizvna podjetja), 6 mio EUR </w:t>
            </w:r>
            <w:r w:rsidR="00017644">
              <w:rPr>
                <w:color w:val="FF0000"/>
              </w:rPr>
              <w:t xml:space="preserve">iz bilance B proračuna RS (povečanje namenskega premoženja Slovenskega podjetniškega sklada). </w:t>
            </w:r>
          </w:p>
        </w:tc>
        <w:tc>
          <w:tcPr>
            <w:tcW w:w="10597" w:type="dxa"/>
          </w:tcPr>
          <w:tbl>
            <w:tblPr>
              <w:tblStyle w:val="Tabelamrea"/>
              <w:tblW w:w="0" w:type="auto"/>
              <w:tblLook w:val="04A0" w:firstRow="1" w:lastRow="0" w:firstColumn="1" w:lastColumn="0" w:noHBand="0" w:noVBand="1"/>
            </w:tblPr>
            <w:tblGrid>
              <w:gridCol w:w="3457"/>
              <w:gridCol w:w="3457"/>
              <w:gridCol w:w="3457"/>
            </w:tblGrid>
            <w:tr w:rsidR="0034666C" w14:paraId="79FCD6DD" w14:textId="77777777" w:rsidTr="0034666C">
              <w:tc>
                <w:tcPr>
                  <w:tcW w:w="3457" w:type="dxa"/>
                  <w:shd w:val="clear" w:color="auto" w:fill="E7E6E6" w:themeFill="background2"/>
                </w:tcPr>
                <w:p w14:paraId="093C516C" w14:textId="756C7B89" w:rsidR="0034666C" w:rsidRPr="0034666C" w:rsidRDefault="0034666C" w:rsidP="0034666C">
                  <w:pPr>
                    <w:pStyle w:val="Brezrazmikov"/>
                    <w:jc w:val="center"/>
                    <w:rPr>
                      <w:b/>
                      <w:bCs/>
                      <w:i/>
                      <w:iCs/>
                    </w:rPr>
                  </w:pPr>
                  <w:r w:rsidRPr="0034666C">
                    <w:rPr>
                      <w:b/>
                      <w:bCs/>
                      <w:i/>
                      <w:iCs/>
                    </w:rPr>
                    <w:lastRenderedPageBreak/>
                    <w:t>UKREP</w:t>
                  </w:r>
                </w:p>
              </w:tc>
              <w:tc>
                <w:tcPr>
                  <w:tcW w:w="3457" w:type="dxa"/>
                  <w:shd w:val="clear" w:color="auto" w:fill="E7E6E6" w:themeFill="background2"/>
                </w:tcPr>
                <w:p w14:paraId="6A0C53C1" w14:textId="1E6FB5EB" w:rsidR="0034666C" w:rsidRPr="0034666C" w:rsidRDefault="0034666C" w:rsidP="0034666C">
                  <w:pPr>
                    <w:pStyle w:val="Brezrazmikov"/>
                    <w:jc w:val="center"/>
                    <w:rPr>
                      <w:b/>
                      <w:bCs/>
                      <w:i/>
                      <w:iCs/>
                    </w:rPr>
                  </w:pPr>
                  <w:r w:rsidRPr="0034666C">
                    <w:rPr>
                      <w:b/>
                      <w:bCs/>
                      <w:i/>
                      <w:iCs/>
                    </w:rPr>
                    <w:t>GOSPODINJSTVA</w:t>
                  </w:r>
                </w:p>
              </w:tc>
              <w:tc>
                <w:tcPr>
                  <w:tcW w:w="3457" w:type="dxa"/>
                  <w:shd w:val="clear" w:color="auto" w:fill="E7E6E6" w:themeFill="background2"/>
                </w:tcPr>
                <w:p w14:paraId="75F603CD" w14:textId="7769E1AC" w:rsidR="0034666C" w:rsidRPr="0034666C" w:rsidRDefault="0034666C" w:rsidP="0034666C">
                  <w:pPr>
                    <w:pStyle w:val="Brezrazmikov"/>
                    <w:jc w:val="center"/>
                    <w:rPr>
                      <w:b/>
                      <w:bCs/>
                      <w:i/>
                      <w:iCs/>
                    </w:rPr>
                  </w:pPr>
                  <w:r w:rsidRPr="0034666C">
                    <w:rPr>
                      <w:b/>
                      <w:bCs/>
                      <w:i/>
                      <w:iCs/>
                    </w:rPr>
                    <w:t>GOSPODARSTVO</w:t>
                  </w:r>
                </w:p>
              </w:tc>
            </w:tr>
            <w:tr w:rsidR="0034666C" w14:paraId="614ED366" w14:textId="77777777" w:rsidTr="0034666C">
              <w:tc>
                <w:tcPr>
                  <w:tcW w:w="3457" w:type="dxa"/>
                </w:tcPr>
                <w:p w14:paraId="73CBE52D" w14:textId="21994D9F" w:rsidR="0034666C" w:rsidRDefault="0034666C" w:rsidP="00E358B0">
                  <w:pPr>
                    <w:pStyle w:val="Brezrazmikov"/>
                    <w:jc w:val="both"/>
                  </w:pPr>
                  <w:r>
                    <w:t>E</w:t>
                  </w:r>
                  <w:r w:rsidRPr="0034666C">
                    <w:t>nostavna pomoč za gospodarstvo</w:t>
                  </w:r>
                </w:p>
              </w:tc>
              <w:tc>
                <w:tcPr>
                  <w:tcW w:w="3457" w:type="dxa"/>
                </w:tcPr>
                <w:p w14:paraId="7023EA27" w14:textId="2BDEB9DD" w:rsidR="0034666C" w:rsidRDefault="0034666C" w:rsidP="00E358B0">
                  <w:pPr>
                    <w:pStyle w:val="Brezrazmikov"/>
                    <w:jc w:val="both"/>
                  </w:pPr>
                  <w:r>
                    <w:t>/</w:t>
                  </w:r>
                </w:p>
              </w:tc>
              <w:tc>
                <w:tcPr>
                  <w:tcW w:w="3457" w:type="dxa"/>
                </w:tcPr>
                <w:p w14:paraId="64A6D0DD" w14:textId="77777777" w:rsidR="0034666C" w:rsidRDefault="0034666C" w:rsidP="00E358B0">
                  <w:pPr>
                    <w:pStyle w:val="Brezrazmikov"/>
                    <w:jc w:val="both"/>
                  </w:pPr>
                  <w:r w:rsidRPr="0034666C">
                    <w:t>VMP = 50 % x US za enostavno pomoč</w:t>
                  </w:r>
                </w:p>
                <w:p w14:paraId="229D839D" w14:textId="77777777" w:rsidR="0034666C" w:rsidRDefault="0034666C" w:rsidP="00E358B0">
                  <w:pPr>
                    <w:pStyle w:val="Brezrazmikov"/>
                    <w:jc w:val="both"/>
                  </w:pPr>
                  <w:r>
                    <w:t xml:space="preserve">(VMS = </w:t>
                  </w:r>
                  <w:r w:rsidRPr="0034666C">
                    <w:t>višina mesečne pomoči upravičencu</w:t>
                  </w:r>
                  <w:r>
                    <w:t>;</w:t>
                  </w:r>
                </w:p>
                <w:p w14:paraId="30A96209" w14:textId="77777777" w:rsidR="0034666C" w:rsidRDefault="0034666C" w:rsidP="00E358B0">
                  <w:pPr>
                    <w:pStyle w:val="Brezrazmikov"/>
                    <w:jc w:val="both"/>
                  </w:pPr>
                  <w:r>
                    <w:t xml:space="preserve">US = </w:t>
                  </w:r>
                  <w:r w:rsidRPr="0034666C">
                    <w:t>upravičen strošek v danem mesecu v upravičenem obdobju</w:t>
                  </w:r>
                  <w:r>
                    <w:t>)</w:t>
                  </w:r>
                </w:p>
                <w:p w14:paraId="676C07A6" w14:textId="77777777" w:rsidR="0034666C" w:rsidRDefault="0034666C" w:rsidP="00E358B0">
                  <w:pPr>
                    <w:pStyle w:val="Brezrazmikov"/>
                    <w:jc w:val="both"/>
                  </w:pPr>
                </w:p>
                <w:p w14:paraId="2CDACF48" w14:textId="59A931F0" w:rsidR="0034666C" w:rsidRDefault="0034666C" w:rsidP="00E358B0">
                  <w:pPr>
                    <w:pStyle w:val="Brezrazmikov"/>
                    <w:jc w:val="both"/>
                  </w:pPr>
                  <w:r>
                    <w:lastRenderedPageBreak/>
                    <w:t>Skupna višina prijete pomoči na upravičenca</w:t>
                  </w:r>
                  <w:r w:rsidR="0007172C">
                    <w:t xml:space="preserve"> skupaj z drugimi pomočmi</w:t>
                  </w:r>
                  <w:r>
                    <w:t xml:space="preserve">, </w:t>
                  </w:r>
                  <w:r w:rsidRPr="0007172C">
                    <w:rPr>
                      <w:b/>
                      <w:bCs/>
                    </w:rPr>
                    <w:t>ne sme presegati 500.000 </w:t>
                  </w:r>
                  <w:r w:rsidR="0007172C" w:rsidRPr="0007172C">
                    <w:rPr>
                      <w:b/>
                      <w:bCs/>
                    </w:rPr>
                    <w:t>€</w:t>
                  </w:r>
                  <w:r w:rsidR="0007172C">
                    <w:t>.</w:t>
                  </w:r>
                </w:p>
              </w:tc>
            </w:tr>
            <w:tr w:rsidR="0034666C" w14:paraId="536A0C2B" w14:textId="77777777" w:rsidTr="0034666C">
              <w:tc>
                <w:tcPr>
                  <w:tcW w:w="3457" w:type="dxa"/>
                </w:tcPr>
                <w:p w14:paraId="2810CC85" w14:textId="6381A07B" w:rsidR="0034666C" w:rsidRPr="0034666C" w:rsidRDefault="0034666C" w:rsidP="00E358B0">
                  <w:pPr>
                    <w:pStyle w:val="Brezrazmikov"/>
                    <w:jc w:val="both"/>
                    <w:rPr>
                      <w:rFonts w:cstheme="minorHAnsi"/>
                    </w:rPr>
                  </w:pPr>
                  <w:r w:rsidRPr="0034666C">
                    <w:rPr>
                      <w:rFonts w:cstheme="minorHAnsi"/>
                      <w:color w:val="000000"/>
                      <w:shd w:val="clear" w:color="auto" w:fill="FFFFFF"/>
                    </w:rPr>
                    <w:lastRenderedPageBreak/>
                    <w:t>Posebna pomoč za gospodarstvo</w:t>
                  </w:r>
                </w:p>
              </w:tc>
              <w:tc>
                <w:tcPr>
                  <w:tcW w:w="3457" w:type="dxa"/>
                </w:tcPr>
                <w:p w14:paraId="2782C357" w14:textId="1A8D0BB5" w:rsidR="0034666C" w:rsidRDefault="0034666C" w:rsidP="00E358B0">
                  <w:pPr>
                    <w:pStyle w:val="Brezrazmikov"/>
                    <w:jc w:val="both"/>
                  </w:pPr>
                  <w:r>
                    <w:t>/</w:t>
                  </w:r>
                </w:p>
              </w:tc>
              <w:tc>
                <w:tcPr>
                  <w:tcW w:w="3457" w:type="dxa"/>
                </w:tcPr>
                <w:p w14:paraId="4412E7A9" w14:textId="77777777" w:rsidR="0034666C" w:rsidRDefault="0034666C" w:rsidP="00E358B0">
                  <w:pPr>
                    <w:pStyle w:val="Brezrazmikov"/>
                    <w:jc w:val="both"/>
                  </w:pPr>
                  <w:r w:rsidRPr="0034666C">
                    <w:t>VMP = 30 % x US za posebno pomoč</w:t>
                  </w:r>
                </w:p>
                <w:p w14:paraId="6135BC4A" w14:textId="77777777" w:rsidR="0034666C" w:rsidRDefault="0034666C" w:rsidP="00E358B0">
                  <w:pPr>
                    <w:pStyle w:val="Brezrazmikov"/>
                    <w:jc w:val="both"/>
                  </w:pPr>
                </w:p>
                <w:p w14:paraId="5E8C9CD9" w14:textId="1C693AF6" w:rsidR="0034666C" w:rsidRDefault="0034666C" w:rsidP="00E358B0">
                  <w:pPr>
                    <w:pStyle w:val="Brezrazmikov"/>
                    <w:jc w:val="both"/>
                  </w:pPr>
                  <w:r w:rsidRPr="0034666C">
                    <w:t>Skupna višina posebne pomoči za gospodarstvo na upravičenca skupaj z drugimi pomočmi</w:t>
                  </w:r>
                  <w:r w:rsidR="0007172C">
                    <w:t xml:space="preserve">, </w:t>
                  </w:r>
                  <w:r w:rsidR="0007172C" w:rsidRPr="0007172C">
                    <w:rPr>
                      <w:b/>
                      <w:bCs/>
                    </w:rPr>
                    <w:t>ne sme presegati 2 milijona €</w:t>
                  </w:r>
                  <w:r w:rsidR="0007172C">
                    <w:t>.</w:t>
                  </w:r>
                </w:p>
              </w:tc>
            </w:tr>
            <w:tr w:rsidR="0034666C" w14:paraId="34430C80" w14:textId="77777777" w:rsidTr="0034666C">
              <w:tc>
                <w:tcPr>
                  <w:tcW w:w="3457" w:type="dxa"/>
                </w:tcPr>
                <w:p w14:paraId="2661B792" w14:textId="1D151579" w:rsidR="0034666C" w:rsidRPr="0034666C" w:rsidRDefault="0034666C" w:rsidP="00E358B0">
                  <w:pPr>
                    <w:pStyle w:val="Brezrazmikov"/>
                    <w:jc w:val="both"/>
                    <w:rPr>
                      <w:rFonts w:cstheme="minorHAnsi"/>
                    </w:rPr>
                  </w:pPr>
                  <w:r w:rsidRPr="0034666C">
                    <w:rPr>
                      <w:rFonts w:cstheme="minorHAnsi"/>
                      <w:color w:val="000000"/>
                      <w:sz w:val="14"/>
                      <w:szCs w:val="14"/>
                      <w:shd w:val="clear" w:color="auto" w:fill="FFFFFF"/>
                    </w:rPr>
                    <w:t> </w:t>
                  </w:r>
                  <w:r w:rsidRPr="0034666C">
                    <w:rPr>
                      <w:rFonts w:cstheme="minorHAnsi"/>
                      <w:color w:val="000000"/>
                      <w:shd w:val="clear" w:color="auto" w:fill="FFFFFF"/>
                    </w:rPr>
                    <w:t>Pomoč za energetsko intenzivna podjetja</w:t>
                  </w:r>
                </w:p>
              </w:tc>
              <w:tc>
                <w:tcPr>
                  <w:tcW w:w="3457" w:type="dxa"/>
                </w:tcPr>
                <w:p w14:paraId="0DCC2FBD" w14:textId="3006EFFA" w:rsidR="0034666C" w:rsidRDefault="0034666C" w:rsidP="00E358B0">
                  <w:pPr>
                    <w:pStyle w:val="Brezrazmikov"/>
                    <w:jc w:val="both"/>
                  </w:pPr>
                  <w:r>
                    <w:t>/</w:t>
                  </w:r>
                </w:p>
              </w:tc>
              <w:tc>
                <w:tcPr>
                  <w:tcW w:w="3457" w:type="dxa"/>
                </w:tcPr>
                <w:p w14:paraId="3E16E2E2" w14:textId="330D3655" w:rsidR="0007172C" w:rsidRPr="0007172C" w:rsidRDefault="0007172C" w:rsidP="0007172C">
                  <w:pPr>
                    <w:pStyle w:val="Brezrazmikov"/>
                  </w:pPr>
                  <w:r w:rsidRPr="0007172C">
                    <w:t>Višina pomoči na upravičenca ne sme presegati 50 </w:t>
                  </w:r>
                  <w:r>
                    <w:t>%</w:t>
                  </w:r>
                  <w:r w:rsidRPr="0007172C">
                    <w:t xml:space="preserve"> upravičenih stroškov in znaša največ 80 </w:t>
                  </w:r>
                  <w:r>
                    <w:t>%</w:t>
                  </w:r>
                  <w:r w:rsidRPr="0007172C">
                    <w:t xml:space="preserve"> izgub iz poslovanja upravičenca in ne sme presegati 2 milijona </w:t>
                  </w:r>
                  <w:r>
                    <w:t>€</w:t>
                  </w:r>
                  <w:r w:rsidRPr="0007172C">
                    <w:t xml:space="preserve"> pomoči za gospodarstvo, pri čemer skupna višina pomoči na upravičenca skupaj z drugimi pomočmi, ne sme presegati 25 milijonov </w:t>
                  </w:r>
                  <w:r>
                    <w:t>€</w:t>
                  </w:r>
                  <w:r w:rsidRPr="0007172C">
                    <w:t>.</w:t>
                  </w:r>
                </w:p>
                <w:p w14:paraId="6D501503" w14:textId="3C0CCE16" w:rsidR="0034666C" w:rsidRDefault="0007172C" w:rsidP="0007172C">
                  <w:pPr>
                    <w:pStyle w:val="Brezrazmikov"/>
                  </w:pPr>
                  <w:r w:rsidRPr="0007172C">
                    <w:t xml:space="preserve">Višina pomoči na upravičenca se lahko poveča na največ 70 </w:t>
                  </w:r>
                  <w:r>
                    <w:t>%</w:t>
                  </w:r>
                  <w:r w:rsidRPr="0007172C">
                    <w:t xml:space="preserve"> upravičenih stroškov in lahko znaša največ 80 </w:t>
                  </w:r>
                  <w:r>
                    <w:t>%</w:t>
                  </w:r>
                  <w:r w:rsidRPr="0007172C">
                    <w:t xml:space="preserve"> izgube iz poslovanja in ne sme presegati 2 milijona </w:t>
                  </w:r>
                  <w:r>
                    <w:t>€</w:t>
                  </w:r>
                  <w:r w:rsidRPr="0007172C">
                    <w:t xml:space="preserve"> pomoči za gospodarstvo, pri čemer skupna višina pomoči na upravičenca, skupaj z drugimi pomočmi, ne sme presegati 50 milijonov </w:t>
                  </w:r>
                  <w:r>
                    <w:t>€</w:t>
                  </w:r>
                  <w:r w:rsidRPr="0007172C">
                    <w:t xml:space="preserve"> na podjetje, če gre za upravičenca, dejavnega v </w:t>
                  </w:r>
                  <w:r>
                    <w:t>zakonsko določenih</w:t>
                  </w:r>
                  <w:r w:rsidRPr="0007172C">
                    <w:t xml:space="preserve"> sektorjih</w:t>
                  </w:r>
                  <w:r>
                    <w:t>.</w:t>
                  </w:r>
                </w:p>
              </w:tc>
            </w:tr>
          </w:tbl>
          <w:p w14:paraId="61F77F85" w14:textId="77777777" w:rsidR="00E358B0" w:rsidRDefault="00E358B0" w:rsidP="00E358B0">
            <w:pPr>
              <w:pStyle w:val="Brezrazmikov"/>
              <w:jc w:val="both"/>
            </w:pPr>
          </w:p>
        </w:tc>
      </w:tr>
      <w:tr w:rsidR="0007172C" w14:paraId="78E8D3EF" w14:textId="77777777" w:rsidTr="00E358B0">
        <w:tc>
          <w:tcPr>
            <w:tcW w:w="3397" w:type="dxa"/>
          </w:tcPr>
          <w:p w14:paraId="437F486D" w14:textId="77777777" w:rsidR="0007172C" w:rsidRDefault="0007172C" w:rsidP="00E358B0">
            <w:pPr>
              <w:pStyle w:val="Brezrazmikov"/>
              <w:jc w:val="both"/>
              <w:rPr>
                <w:b/>
                <w:bCs/>
              </w:rPr>
            </w:pPr>
          </w:p>
        </w:tc>
        <w:tc>
          <w:tcPr>
            <w:tcW w:w="10597" w:type="dxa"/>
          </w:tcPr>
          <w:p w14:paraId="050A5844" w14:textId="77777777" w:rsidR="0007172C" w:rsidRPr="0034666C" w:rsidRDefault="0007172C" w:rsidP="0034666C">
            <w:pPr>
              <w:pStyle w:val="Brezrazmikov"/>
              <w:jc w:val="center"/>
              <w:rPr>
                <w:b/>
                <w:bCs/>
                <w:i/>
                <w:iCs/>
              </w:rPr>
            </w:pPr>
          </w:p>
        </w:tc>
      </w:tr>
      <w:tr w:rsidR="00E358B0" w14:paraId="28D79040" w14:textId="77777777" w:rsidTr="00E358B0">
        <w:tc>
          <w:tcPr>
            <w:tcW w:w="3397" w:type="dxa"/>
          </w:tcPr>
          <w:p w14:paraId="777BEF1D" w14:textId="77777777" w:rsidR="00B8450A" w:rsidRDefault="00AA3AD5" w:rsidP="009D2232">
            <w:pPr>
              <w:spacing w:after="160" w:line="259" w:lineRule="auto"/>
              <w:rPr>
                <w:rStyle w:val="Hiperpovezava"/>
                <w:b/>
                <w:bCs/>
              </w:rPr>
            </w:pPr>
            <w:hyperlink r:id="rId11" w:history="1">
              <w:r w:rsidR="009D2232" w:rsidRPr="009D2232">
                <w:rPr>
                  <w:rStyle w:val="Hiperpovezava"/>
                  <w:b/>
                  <w:bCs/>
                </w:rPr>
                <w:t>Zakon o začasnih ukrepih za odpravo posledic draginje za najbolj ranljive skupine prebivalstva (ZZUOPD)</w:t>
              </w:r>
            </w:hyperlink>
          </w:p>
          <w:p w14:paraId="3DE5B3F9" w14:textId="05A68DA0" w:rsidR="00B8450A" w:rsidRPr="00B8450A" w:rsidRDefault="002C601C" w:rsidP="009D2232">
            <w:pPr>
              <w:spacing w:after="160" w:line="259" w:lineRule="auto"/>
              <w:rPr>
                <w:b/>
                <w:bCs/>
                <w:color w:val="0563C1" w:themeColor="hyperlink"/>
                <w:u w:val="single"/>
              </w:rPr>
            </w:pPr>
            <w:r w:rsidRPr="002C601C">
              <w:rPr>
                <w:color w:val="FF0000"/>
              </w:rPr>
              <w:t>Finančne posledice za državni proračun v skupni višini okoli 35 milijona e oz. 27 milijonov € leta 2022 in 8 milijonov € leta 2023.</w:t>
            </w:r>
          </w:p>
        </w:tc>
        <w:tc>
          <w:tcPr>
            <w:tcW w:w="10597" w:type="dxa"/>
          </w:tcPr>
          <w:tbl>
            <w:tblPr>
              <w:tblStyle w:val="Tabelamrea"/>
              <w:tblW w:w="0" w:type="auto"/>
              <w:tblLook w:val="04A0" w:firstRow="1" w:lastRow="0" w:firstColumn="1" w:lastColumn="0" w:noHBand="0" w:noVBand="1"/>
            </w:tblPr>
            <w:tblGrid>
              <w:gridCol w:w="3457"/>
              <w:gridCol w:w="3457"/>
              <w:gridCol w:w="3457"/>
            </w:tblGrid>
            <w:tr w:rsidR="0007172C" w14:paraId="71872DA9" w14:textId="77777777" w:rsidTr="0007172C">
              <w:tc>
                <w:tcPr>
                  <w:tcW w:w="3457" w:type="dxa"/>
                  <w:shd w:val="clear" w:color="auto" w:fill="E7E6E6" w:themeFill="background2"/>
                </w:tcPr>
                <w:p w14:paraId="6164ADAA" w14:textId="2C763166" w:rsidR="0007172C" w:rsidRPr="0007172C" w:rsidRDefault="0007172C" w:rsidP="0007172C">
                  <w:pPr>
                    <w:pStyle w:val="Brezrazmikov"/>
                    <w:jc w:val="center"/>
                    <w:rPr>
                      <w:b/>
                      <w:bCs/>
                      <w:i/>
                      <w:iCs/>
                    </w:rPr>
                  </w:pPr>
                  <w:r w:rsidRPr="0007172C">
                    <w:rPr>
                      <w:b/>
                      <w:bCs/>
                      <w:i/>
                      <w:iCs/>
                    </w:rPr>
                    <w:t>UKREP</w:t>
                  </w:r>
                </w:p>
              </w:tc>
              <w:tc>
                <w:tcPr>
                  <w:tcW w:w="3457" w:type="dxa"/>
                  <w:shd w:val="clear" w:color="auto" w:fill="E7E6E6" w:themeFill="background2"/>
                </w:tcPr>
                <w:p w14:paraId="6E673D61" w14:textId="44FB3BF5" w:rsidR="0007172C" w:rsidRPr="0007172C" w:rsidRDefault="0007172C" w:rsidP="0007172C">
                  <w:pPr>
                    <w:pStyle w:val="Brezrazmikov"/>
                    <w:jc w:val="center"/>
                    <w:rPr>
                      <w:b/>
                      <w:bCs/>
                      <w:i/>
                      <w:iCs/>
                    </w:rPr>
                  </w:pPr>
                  <w:r w:rsidRPr="0007172C">
                    <w:rPr>
                      <w:b/>
                      <w:bCs/>
                      <w:i/>
                      <w:iCs/>
                    </w:rPr>
                    <w:t>GOSPODINJSTV</w:t>
                  </w:r>
                  <w:r w:rsidR="00192391">
                    <w:rPr>
                      <w:b/>
                      <w:bCs/>
                      <w:i/>
                      <w:iCs/>
                    </w:rPr>
                    <w:t>A</w:t>
                  </w:r>
                </w:p>
              </w:tc>
              <w:tc>
                <w:tcPr>
                  <w:tcW w:w="3457" w:type="dxa"/>
                  <w:shd w:val="clear" w:color="auto" w:fill="E7E6E6" w:themeFill="background2"/>
                </w:tcPr>
                <w:p w14:paraId="09AA9E4A" w14:textId="256D4608" w:rsidR="0007172C" w:rsidRPr="0007172C" w:rsidRDefault="0007172C" w:rsidP="0007172C">
                  <w:pPr>
                    <w:pStyle w:val="Brezrazmikov"/>
                    <w:jc w:val="center"/>
                    <w:rPr>
                      <w:b/>
                      <w:bCs/>
                      <w:i/>
                      <w:iCs/>
                    </w:rPr>
                  </w:pPr>
                  <w:r w:rsidRPr="0007172C">
                    <w:rPr>
                      <w:b/>
                      <w:bCs/>
                      <w:i/>
                      <w:iCs/>
                    </w:rPr>
                    <w:t>GOSPODARSTVO</w:t>
                  </w:r>
                </w:p>
              </w:tc>
            </w:tr>
            <w:tr w:rsidR="0007172C" w14:paraId="7B96584D" w14:textId="77777777" w:rsidTr="0007172C">
              <w:tc>
                <w:tcPr>
                  <w:tcW w:w="3457" w:type="dxa"/>
                </w:tcPr>
                <w:p w14:paraId="69EF8FBF" w14:textId="11496328" w:rsidR="0007172C" w:rsidRDefault="00192391" w:rsidP="00E358B0">
                  <w:pPr>
                    <w:pStyle w:val="Brezrazmikov"/>
                    <w:jc w:val="both"/>
                  </w:pPr>
                  <w:r>
                    <w:t>E</w:t>
                  </w:r>
                  <w:r w:rsidRPr="00192391">
                    <w:t>nergetski dodatek za prejemnike denarne socialne pomoči in varstvenega dodatka</w:t>
                  </w:r>
                </w:p>
              </w:tc>
              <w:tc>
                <w:tcPr>
                  <w:tcW w:w="3457" w:type="dxa"/>
                </w:tcPr>
                <w:p w14:paraId="33FAE5E8" w14:textId="738D222C" w:rsidR="00192391" w:rsidRDefault="00192391" w:rsidP="00192391">
                  <w:pPr>
                    <w:pStyle w:val="Brezrazmikov"/>
                    <w:numPr>
                      <w:ilvl w:val="0"/>
                      <w:numId w:val="2"/>
                    </w:numPr>
                  </w:pPr>
                  <w:r w:rsidRPr="00192391">
                    <w:t xml:space="preserve">200 </w:t>
                  </w:r>
                  <w:r>
                    <w:t>€</w:t>
                  </w:r>
                  <w:r w:rsidRPr="00192391">
                    <w:t xml:space="preserve"> za samske osebe;</w:t>
                  </w:r>
                </w:p>
                <w:p w14:paraId="05477C7E" w14:textId="77777777" w:rsidR="00192391" w:rsidRDefault="00192391" w:rsidP="00192391">
                  <w:pPr>
                    <w:pStyle w:val="Brezrazmikov"/>
                    <w:numPr>
                      <w:ilvl w:val="0"/>
                      <w:numId w:val="2"/>
                    </w:numPr>
                  </w:pPr>
                  <w:r w:rsidRPr="00192391">
                    <w:t xml:space="preserve">200 </w:t>
                  </w:r>
                  <w:r>
                    <w:t>€</w:t>
                  </w:r>
                  <w:r w:rsidRPr="00192391">
                    <w:t xml:space="preserve"> za družine z enim staršem, povečan za 118 </w:t>
                  </w:r>
                  <w:r>
                    <w:t>€</w:t>
                  </w:r>
                  <w:r w:rsidRPr="00192391">
                    <w:t xml:space="preserve"> za vsakega otroka ali za 59 </w:t>
                  </w:r>
                  <w:r>
                    <w:t>€</w:t>
                  </w:r>
                  <w:r w:rsidRPr="00192391">
                    <w:t>, če je otrok dodeljen v skupno varstvo in vzgojo;</w:t>
                  </w:r>
                </w:p>
                <w:p w14:paraId="2B82B3F5" w14:textId="77777777" w:rsidR="00192391" w:rsidRDefault="00192391" w:rsidP="00192391">
                  <w:pPr>
                    <w:pStyle w:val="Brezrazmikov"/>
                    <w:numPr>
                      <w:ilvl w:val="0"/>
                      <w:numId w:val="2"/>
                    </w:numPr>
                  </w:pPr>
                  <w:r w:rsidRPr="00192391">
                    <w:t xml:space="preserve">314 </w:t>
                  </w:r>
                  <w:r>
                    <w:t>€</w:t>
                  </w:r>
                  <w:r w:rsidRPr="00192391">
                    <w:t xml:space="preserve"> za dvostarševske družine, povečan za 118 </w:t>
                  </w:r>
                  <w:r>
                    <w:t>€</w:t>
                  </w:r>
                  <w:r w:rsidRPr="00192391">
                    <w:t xml:space="preserve"> za vsakega otroka ali za 59 </w:t>
                  </w:r>
                  <w:r>
                    <w:t>€</w:t>
                  </w:r>
                  <w:r w:rsidRPr="00192391">
                    <w:t>, če je otrok dodeljen v skupno varstvo in vzgojo;</w:t>
                  </w:r>
                </w:p>
                <w:p w14:paraId="266A8D32" w14:textId="3FDE49FC" w:rsidR="0007172C" w:rsidRDefault="00192391" w:rsidP="00192391">
                  <w:pPr>
                    <w:pStyle w:val="Brezrazmikov"/>
                    <w:numPr>
                      <w:ilvl w:val="0"/>
                      <w:numId w:val="2"/>
                    </w:numPr>
                  </w:pPr>
                  <w:r w:rsidRPr="00192391">
                    <w:t xml:space="preserve">314 </w:t>
                  </w:r>
                  <w:r>
                    <w:t>€</w:t>
                  </w:r>
                  <w:r w:rsidRPr="00192391">
                    <w:t xml:space="preserve"> za osebi, ki sta v zakonski zvezi ali zunajzakonski skupnosti brez otrok.</w:t>
                  </w:r>
                </w:p>
              </w:tc>
              <w:tc>
                <w:tcPr>
                  <w:tcW w:w="3457" w:type="dxa"/>
                </w:tcPr>
                <w:p w14:paraId="60B785D6" w14:textId="0F925A54" w:rsidR="0007172C" w:rsidRDefault="00192391" w:rsidP="00E358B0">
                  <w:pPr>
                    <w:pStyle w:val="Brezrazmikov"/>
                    <w:jc w:val="both"/>
                  </w:pPr>
                  <w:r>
                    <w:t>/</w:t>
                  </w:r>
                </w:p>
              </w:tc>
            </w:tr>
            <w:tr w:rsidR="0007172C" w14:paraId="61F2FDDE" w14:textId="77777777" w:rsidTr="0007172C">
              <w:tc>
                <w:tcPr>
                  <w:tcW w:w="3457" w:type="dxa"/>
                </w:tcPr>
                <w:p w14:paraId="51C681F3" w14:textId="222B1454" w:rsidR="0007172C" w:rsidRDefault="00192391" w:rsidP="00E358B0">
                  <w:pPr>
                    <w:pStyle w:val="Brezrazmikov"/>
                    <w:jc w:val="both"/>
                  </w:pPr>
                  <w:r>
                    <w:t>E</w:t>
                  </w:r>
                  <w:r w:rsidRPr="00192391">
                    <w:t>nergetski dodatek za invalide</w:t>
                  </w:r>
                </w:p>
              </w:tc>
              <w:tc>
                <w:tcPr>
                  <w:tcW w:w="3457" w:type="dxa"/>
                </w:tcPr>
                <w:p w14:paraId="44F044F4" w14:textId="77777777" w:rsidR="00192391" w:rsidRDefault="00192391" w:rsidP="00E358B0">
                  <w:pPr>
                    <w:pStyle w:val="Brezrazmikov"/>
                    <w:jc w:val="both"/>
                  </w:pPr>
                  <w:r w:rsidRPr="00192391">
                    <w:t>Višina energetskega dodatka je</w:t>
                  </w:r>
                </w:p>
                <w:p w14:paraId="47742A68" w14:textId="50920AFF" w:rsidR="0007172C" w:rsidRDefault="00192391" w:rsidP="00E358B0">
                  <w:pPr>
                    <w:pStyle w:val="Brezrazmikov"/>
                    <w:jc w:val="both"/>
                  </w:pPr>
                  <w:r w:rsidRPr="00192391">
                    <w:t xml:space="preserve">200 </w:t>
                  </w:r>
                  <w:r>
                    <w:t>€.</w:t>
                  </w:r>
                </w:p>
              </w:tc>
              <w:tc>
                <w:tcPr>
                  <w:tcW w:w="3457" w:type="dxa"/>
                </w:tcPr>
                <w:p w14:paraId="4E8BBD89" w14:textId="7C9FF5EB" w:rsidR="0007172C" w:rsidRDefault="00192391" w:rsidP="00E358B0">
                  <w:pPr>
                    <w:pStyle w:val="Brezrazmikov"/>
                    <w:jc w:val="both"/>
                  </w:pPr>
                  <w:r>
                    <w:t>/</w:t>
                  </w:r>
                </w:p>
              </w:tc>
            </w:tr>
          </w:tbl>
          <w:p w14:paraId="30362935" w14:textId="77777777" w:rsidR="00E358B0" w:rsidRDefault="00E358B0" w:rsidP="00E358B0">
            <w:pPr>
              <w:pStyle w:val="Brezrazmikov"/>
              <w:jc w:val="both"/>
            </w:pPr>
          </w:p>
        </w:tc>
      </w:tr>
      <w:tr w:rsidR="00E358B0" w14:paraId="6E0D45E4" w14:textId="77777777" w:rsidTr="00E358B0">
        <w:tc>
          <w:tcPr>
            <w:tcW w:w="3397" w:type="dxa"/>
          </w:tcPr>
          <w:p w14:paraId="70C5B15A" w14:textId="23BDC15D" w:rsidR="00192391" w:rsidRDefault="00192391" w:rsidP="00E358B0">
            <w:pPr>
              <w:pStyle w:val="Brezrazmikov"/>
              <w:jc w:val="both"/>
            </w:pPr>
          </w:p>
        </w:tc>
        <w:tc>
          <w:tcPr>
            <w:tcW w:w="10597" w:type="dxa"/>
          </w:tcPr>
          <w:p w14:paraId="6B31BC2F" w14:textId="77777777" w:rsidR="00E358B0" w:rsidRDefault="00E358B0" w:rsidP="00E358B0">
            <w:pPr>
              <w:pStyle w:val="Brezrazmikov"/>
              <w:jc w:val="both"/>
            </w:pPr>
          </w:p>
        </w:tc>
      </w:tr>
      <w:tr w:rsidR="00E358B0" w14:paraId="1D4502B5" w14:textId="77777777" w:rsidTr="00E358B0">
        <w:tc>
          <w:tcPr>
            <w:tcW w:w="3397" w:type="dxa"/>
          </w:tcPr>
          <w:p w14:paraId="405E94B9" w14:textId="23896F78" w:rsidR="00192391" w:rsidRDefault="00AA3AD5" w:rsidP="00192391">
            <w:pPr>
              <w:pStyle w:val="Brezrazmikov"/>
              <w:jc w:val="both"/>
              <w:rPr>
                <w:rStyle w:val="Hiperpovezava"/>
                <w:b/>
                <w:bCs/>
              </w:rPr>
            </w:pPr>
            <w:hyperlink r:id="rId12" w:history="1">
              <w:r w:rsidR="00192391" w:rsidRPr="00677E37">
                <w:rPr>
                  <w:rStyle w:val="Hiperpovezava"/>
                  <w:b/>
                  <w:bCs/>
                </w:rPr>
                <w:t xml:space="preserve">Zakon poroštvu Republike Slovenije za obveznosti iz naslova kreditov, najetih za zagotavljanje likvidnosti na organiziranih trgih električne energije ter emisijskih kuponov in obveznosti iz nakupa dodatnih količin zemeljskega plina izven trga evropske unije </w:t>
              </w:r>
              <w:r w:rsidR="00192391" w:rsidRPr="00192391">
                <w:rPr>
                  <w:rStyle w:val="Hiperpovezava"/>
                  <w:b/>
                  <w:bCs/>
                </w:rPr>
                <w:t>(ZPKEEKP)</w:t>
              </w:r>
            </w:hyperlink>
          </w:p>
          <w:p w14:paraId="6A860BE2" w14:textId="3382CD45" w:rsidR="00C50558" w:rsidRDefault="00C50558" w:rsidP="00192391">
            <w:pPr>
              <w:pStyle w:val="Brezrazmikov"/>
              <w:jc w:val="both"/>
              <w:rPr>
                <w:rStyle w:val="Hiperpovezava"/>
                <w:b/>
                <w:bCs/>
              </w:rPr>
            </w:pPr>
          </w:p>
          <w:p w14:paraId="3C09A6AF" w14:textId="0ACB308F" w:rsidR="00C50558" w:rsidRPr="00C50558" w:rsidRDefault="00C50558" w:rsidP="00192391">
            <w:pPr>
              <w:pStyle w:val="Brezrazmikov"/>
              <w:jc w:val="both"/>
              <w:rPr>
                <w:color w:val="FF0000"/>
              </w:rPr>
            </w:pPr>
            <w:r w:rsidRPr="00C50558">
              <w:rPr>
                <w:color w:val="FF0000"/>
              </w:rPr>
              <w:t xml:space="preserve">Finančne posledice bi nastale v proračunu RS v primeru unovčitve poroštva in sicer v višini 1,28 </w:t>
            </w:r>
            <w:r w:rsidRPr="00C50558">
              <w:rPr>
                <w:color w:val="FF0000"/>
              </w:rPr>
              <w:lastRenderedPageBreak/>
              <w:t>milijardi evrov (80 % obveznosti družb do višine 1,6 milijard evrov).</w:t>
            </w:r>
          </w:p>
          <w:p w14:paraId="0E3F2E8C" w14:textId="77777777" w:rsidR="00E358B0" w:rsidRDefault="00E358B0" w:rsidP="00E358B0">
            <w:pPr>
              <w:pStyle w:val="Brezrazmikov"/>
              <w:jc w:val="both"/>
            </w:pPr>
          </w:p>
        </w:tc>
        <w:tc>
          <w:tcPr>
            <w:tcW w:w="10597" w:type="dxa"/>
          </w:tcPr>
          <w:tbl>
            <w:tblPr>
              <w:tblStyle w:val="Tabelamrea"/>
              <w:tblW w:w="0" w:type="auto"/>
              <w:tblLook w:val="04A0" w:firstRow="1" w:lastRow="0" w:firstColumn="1" w:lastColumn="0" w:noHBand="0" w:noVBand="1"/>
            </w:tblPr>
            <w:tblGrid>
              <w:gridCol w:w="3457"/>
              <w:gridCol w:w="3457"/>
              <w:gridCol w:w="3457"/>
            </w:tblGrid>
            <w:tr w:rsidR="00192391" w14:paraId="71D8B931" w14:textId="77777777" w:rsidTr="00192391">
              <w:tc>
                <w:tcPr>
                  <w:tcW w:w="3457" w:type="dxa"/>
                  <w:shd w:val="clear" w:color="auto" w:fill="E7E6E6" w:themeFill="background2"/>
                </w:tcPr>
                <w:p w14:paraId="2B2AAA46" w14:textId="191F172B" w:rsidR="00192391" w:rsidRPr="00192391" w:rsidRDefault="00192391" w:rsidP="00192391">
                  <w:pPr>
                    <w:pStyle w:val="Brezrazmikov"/>
                    <w:jc w:val="center"/>
                    <w:rPr>
                      <w:b/>
                      <w:bCs/>
                      <w:i/>
                      <w:iCs/>
                    </w:rPr>
                  </w:pPr>
                  <w:r w:rsidRPr="00192391">
                    <w:rPr>
                      <w:b/>
                      <w:bCs/>
                      <w:i/>
                      <w:iCs/>
                    </w:rPr>
                    <w:lastRenderedPageBreak/>
                    <w:t>UKREP</w:t>
                  </w:r>
                </w:p>
              </w:tc>
              <w:tc>
                <w:tcPr>
                  <w:tcW w:w="3457" w:type="dxa"/>
                  <w:shd w:val="clear" w:color="auto" w:fill="E7E6E6" w:themeFill="background2"/>
                </w:tcPr>
                <w:p w14:paraId="1ED3033E" w14:textId="4A6D8B6B" w:rsidR="00192391" w:rsidRPr="00192391" w:rsidRDefault="00192391" w:rsidP="00192391">
                  <w:pPr>
                    <w:pStyle w:val="Brezrazmikov"/>
                    <w:jc w:val="center"/>
                    <w:rPr>
                      <w:b/>
                      <w:bCs/>
                      <w:i/>
                      <w:iCs/>
                    </w:rPr>
                  </w:pPr>
                  <w:r w:rsidRPr="00192391">
                    <w:rPr>
                      <w:b/>
                      <w:bCs/>
                      <w:i/>
                      <w:iCs/>
                    </w:rPr>
                    <w:t>GOSPODINJSTVA</w:t>
                  </w:r>
                </w:p>
              </w:tc>
              <w:tc>
                <w:tcPr>
                  <w:tcW w:w="3457" w:type="dxa"/>
                  <w:shd w:val="clear" w:color="auto" w:fill="E7E6E6" w:themeFill="background2"/>
                </w:tcPr>
                <w:p w14:paraId="203023C3" w14:textId="5499F6E5" w:rsidR="00192391" w:rsidRPr="00192391" w:rsidRDefault="00192391" w:rsidP="00192391">
                  <w:pPr>
                    <w:pStyle w:val="Brezrazmikov"/>
                    <w:jc w:val="center"/>
                    <w:rPr>
                      <w:b/>
                      <w:bCs/>
                      <w:i/>
                      <w:iCs/>
                    </w:rPr>
                  </w:pPr>
                  <w:r w:rsidRPr="00192391">
                    <w:rPr>
                      <w:b/>
                      <w:bCs/>
                      <w:i/>
                      <w:iCs/>
                    </w:rPr>
                    <w:t>GOSPODARSTVO</w:t>
                  </w:r>
                </w:p>
              </w:tc>
            </w:tr>
            <w:tr w:rsidR="00192391" w14:paraId="5289B65B" w14:textId="77777777" w:rsidTr="00192391">
              <w:tc>
                <w:tcPr>
                  <w:tcW w:w="3457" w:type="dxa"/>
                </w:tcPr>
                <w:p w14:paraId="22458656" w14:textId="20DF8F72" w:rsidR="00192391" w:rsidRDefault="00192391" w:rsidP="00E358B0">
                  <w:pPr>
                    <w:pStyle w:val="Brezrazmikov"/>
                    <w:jc w:val="both"/>
                  </w:pPr>
                  <w:r>
                    <w:t>P</w:t>
                  </w:r>
                  <w:r w:rsidRPr="00192391">
                    <w:t xml:space="preserve">oroštvo za 80 </w:t>
                  </w:r>
                  <w:r>
                    <w:t>%</w:t>
                  </w:r>
                  <w:r w:rsidRPr="00192391">
                    <w:t xml:space="preserve"> obveznosti družbe</w:t>
                  </w:r>
                  <w:r>
                    <w:t xml:space="preserve"> HSE d. o. o., </w:t>
                  </w:r>
                  <w:r w:rsidRPr="00192391">
                    <w:t>GEN d.</w:t>
                  </w:r>
                  <w:r>
                    <w:t xml:space="preserve"> </w:t>
                  </w:r>
                  <w:r w:rsidRPr="00192391">
                    <w:t>o.</w:t>
                  </w:r>
                  <w:r>
                    <w:t xml:space="preserve"> </w:t>
                  </w:r>
                  <w:r w:rsidRPr="00192391">
                    <w:t>o. in z njo vertikalno povezane družbe GEN-I, d.</w:t>
                  </w:r>
                  <w:r>
                    <w:t xml:space="preserve"> </w:t>
                  </w:r>
                  <w:r w:rsidRPr="00192391">
                    <w:t>o.</w:t>
                  </w:r>
                  <w:r>
                    <w:t xml:space="preserve"> </w:t>
                  </w:r>
                  <w:r w:rsidRPr="00192391">
                    <w:t>o.</w:t>
                  </w:r>
                  <w:r>
                    <w:t xml:space="preserve"> ter </w:t>
                  </w:r>
                  <w:r w:rsidRPr="00192391">
                    <w:t>GEOPLIN d.</w:t>
                  </w:r>
                  <w:r>
                    <w:t xml:space="preserve"> </w:t>
                  </w:r>
                  <w:r w:rsidRPr="00192391">
                    <w:t>o.</w:t>
                  </w:r>
                  <w:r>
                    <w:t xml:space="preserve"> </w:t>
                  </w:r>
                  <w:r w:rsidRPr="00192391">
                    <w:t>o.</w:t>
                  </w:r>
                  <w:r>
                    <w:t>.</w:t>
                  </w:r>
                </w:p>
              </w:tc>
              <w:tc>
                <w:tcPr>
                  <w:tcW w:w="3457" w:type="dxa"/>
                </w:tcPr>
                <w:p w14:paraId="603F5CB1" w14:textId="643D4A57" w:rsidR="00192391" w:rsidRDefault="00192391" w:rsidP="00E358B0">
                  <w:pPr>
                    <w:pStyle w:val="Brezrazmikov"/>
                    <w:jc w:val="both"/>
                  </w:pPr>
                  <w:r>
                    <w:t>/</w:t>
                  </w:r>
                </w:p>
              </w:tc>
              <w:tc>
                <w:tcPr>
                  <w:tcW w:w="3457" w:type="dxa"/>
                </w:tcPr>
                <w:p w14:paraId="79D3EF21" w14:textId="79CF20B8" w:rsidR="00192391" w:rsidRDefault="00192391" w:rsidP="00E358B0">
                  <w:pPr>
                    <w:pStyle w:val="Brezrazmikov"/>
                    <w:jc w:val="both"/>
                  </w:pPr>
                  <w:r>
                    <w:t>Poroštvo za določene družbe.</w:t>
                  </w:r>
                </w:p>
              </w:tc>
            </w:tr>
          </w:tbl>
          <w:p w14:paraId="28E967EF" w14:textId="77777777" w:rsidR="00E358B0" w:rsidRDefault="00E358B0" w:rsidP="00E358B0">
            <w:pPr>
              <w:pStyle w:val="Brezrazmikov"/>
              <w:jc w:val="both"/>
            </w:pPr>
          </w:p>
        </w:tc>
      </w:tr>
      <w:tr w:rsidR="00BF0B7C" w14:paraId="62B36D2A" w14:textId="77777777" w:rsidTr="00E358B0">
        <w:tc>
          <w:tcPr>
            <w:tcW w:w="3397" w:type="dxa"/>
          </w:tcPr>
          <w:p w14:paraId="63ACF871" w14:textId="77777777" w:rsidR="00BF0B7C" w:rsidRDefault="00BF0B7C" w:rsidP="00192391">
            <w:pPr>
              <w:pStyle w:val="Brezrazmikov"/>
              <w:jc w:val="both"/>
              <w:rPr>
                <w:b/>
                <w:bCs/>
              </w:rPr>
            </w:pPr>
          </w:p>
        </w:tc>
        <w:tc>
          <w:tcPr>
            <w:tcW w:w="10597" w:type="dxa"/>
          </w:tcPr>
          <w:p w14:paraId="7DC3FC4F" w14:textId="77777777" w:rsidR="00BF0B7C" w:rsidRPr="00192391" w:rsidRDefault="00BF0B7C" w:rsidP="00192391">
            <w:pPr>
              <w:pStyle w:val="Brezrazmikov"/>
              <w:jc w:val="center"/>
              <w:rPr>
                <w:b/>
                <w:bCs/>
                <w:i/>
                <w:iCs/>
              </w:rPr>
            </w:pPr>
          </w:p>
        </w:tc>
      </w:tr>
      <w:tr w:rsidR="00E358B0" w14:paraId="7226349E" w14:textId="77777777" w:rsidTr="00E358B0">
        <w:tc>
          <w:tcPr>
            <w:tcW w:w="3397" w:type="dxa"/>
          </w:tcPr>
          <w:p w14:paraId="720E38FC" w14:textId="77777777" w:rsidR="00E358B0" w:rsidRDefault="00AA3AD5" w:rsidP="00E358B0">
            <w:pPr>
              <w:pStyle w:val="Brezrazmikov"/>
              <w:jc w:val="both"/>
              <w:rPr>
                <w:rStyle w:val="Hiperpovezava"/>
                <w:b/>
                <w:bCs/>
              </w:rPr>
            </w:pPr>
            <w:hyperlink r:id="rId13" w:history="1">
              <w:r w:rsidR="00BF0B7C" w:rsidRPr="00BC654A">
                <w:rPr>
                  <w:rStyle w:val="Hiperpovezava"/>
                  <w:b/>
                  <w:bCs/>
                </w:rPr>
                <w:t xml:space="preserve">Zakon o ukrepih za omilitev posledic dviga cen energentov v gospodarstvu in kmetijstvu </w:t>
              </w:r>
              <w:r w:rsidR="00BF0B7C" w:rsidRPr="00BF0B7C">
                <w:rPr>
                  <w:rStyle w:val="Hiperpovezava"/>
                  <w:b/>
                  <w:bCs/>
                </w:rPr>
                <w:t>(ZUOPDCE)</w:t>
              </w:r>
            </w:hyperlink>
          </w:p>
          <w:p w14:paraId="5A3F4439" w14:textId="77777777" w:rsidR="00FD6AC1" w:rsidRDefault="00FD6AC1" w:rsidP="00E358B0">
            <w:pPr>
              <w:pStyle w:val="Brezrazmikov"/>
              <w:jc w:val="both"/>
              <w:rPr>
                <w:rStyle w:val="Hiperpovezava"/>
                <w:b/>
                <w:bCs/>
              </w:rPr>
            </w:pPr>
          </w:p>
          <w:p w14:paraId="7B85AD25" w14:textId="326858A6" w:rsidR="00FD6AC1" w:rsidRPr="007C09F5" w:rsidRDefault="00FD6AC1" w:rsidP="00E358B0">
            <w:pPr>
              <w:pStyle w:val="Brezrazmikov"/>
              <w:jc w:val="both"/>
            </w:pPr>
            <w:r w:rsidRPr="007C09F5">
              <w:rPr>
                <w:color w:val="FF0000"/>
              </w:rPr>
              <w:t>Finančne posledice za državni proračun, in sicer 70 mio EUR za področje gospodarstva (cca. 14.500 gospodarskih subjektov) in 25 mio EUR za področje kmetijstva (cca. 41.000 kmetijskih gospodarstev) skupaj 95 mio EUR</w:t>
            </w:r>
            <w:r w:rsidR="007C09F5" w:rsidRPr="007C09F5">
              <w:rPr>
                <w:color w:val="FF0000"/>
              </w:rPr>
              <w:t>.</w:t>
            </w:r>
          </w:p>
        </w:tc>
        <w:tc>
          <w:tcPr>
            <w:tcW w:w="10597" w:type="dxa"/>
          </w:tcPr>
          <w:tbl>
            <w:tblPr>
              <w:tblStyle w:val="Tabelamrea"/>
              <w:tblW w:w="0" w:type="auto"/>
              <w:tblLook w:val="04A0" w:firstRow="1" w:lastRow="0" w:firstColumn="1" w:lastColumn="0" w:noHBand="0" w:noVBand="1"/>
            </w:tblPr>
            <w:tblGrid>
              <w:gridCol w:w="3457"/>
              <w:gridCol w:w="3457"/>
              <w:gridCol w:w="3457"/>
            </w:tblGrid>
            <w:tr w:rsidR="00BF0B7C" w14:paraId="50825EA3" w14:textId="77777777" w:rsidTr="00BF0B7C">
              <w:tc>
                <w:tcPr>
                  <w:tcW w:w="3457" w:type="dxa"/>
                  <w:shd w:val="clear" w:color="auto" w:fill="E7E6E6" w:themeFill="background2"/>
                </w:tcPr>
                <w:p w14:paraId="4196C9BE" w14:textId="12C0D3E9" w:rsidR="00BF0B7C" w:rsidRPr="00BF0B7C" w:rsidRDefault="00BF0B7C" w:rsidP="00BF0B7C">
                  <w:pPr>
                    <w:pStyle w:val="Brezrazmikov"/>
                    <w:jc w:val="center"/>
                    <w:rPr>
                      <w:b/>
                      <w:bCs/>
                      <w:i/>
                      <w:iCs/>
                    </w:rPr>
                  </w:pPr>
                  <w:r w:rsidRPr="00BF0B7C">
                    <w:rPr>
                      <w:b/>
                      <w:bCs/>
                      <w:i/>
                      <w:iCs/>
                    </w:rPr>
                    <w:t>UKREP</w:t>
                  </w:r>
                </w:p>
              </w:tc>
              <w:tc>
                <w:tcPr>
                  <w:tcW w:w="3457" w:type="dxa"/>
                  <w:shd w:val="clear" w:color="auto" w:fill="E7E6E6" w:themeFill="background2"/>
                </w:tcPr>
                <w:p w14:paraId="50C64F78" w14:textId="66FF7C77" w:rsidR="00BF0B7C" w:rsidRPr="00BF0B7C" w:rsidRDefault="00BF0B7C" w:rsidP="00BF0B7C">
                  <w:pPr>
                    <w:pStyle w:val="Brezrazmikov"/>
                    <w:jc w:val="center"/>
                    <w:rPr>
                      <w:b/>
                      <w:bCs/>
                      <w:i/>
                      <w:iCs/>
                    </w:rPr>
                  </w:pPr>
                  <w:r w:rsidRPr="00BF0B7C">
                    <w:rPr>
                      <w:b/>
                      <w:bCs/>
                      <w:i/>
                      <w:iCs/>
                    </w:rPr>
                    <w:t>GOSPODINJSTVA</w:t>
                  </w:r>
                </w:p>
              </w:tc>
              <w:tc>
                <w:tcPr>
                  <w:tcW w:w="3457" w:type="dxa"/>
                  <w:shd w:val="clear" w:color="auto" w:fill="E7E6E6" w:themeFill="background2"/>
                </w:tcPr>
                <w:p w14:paraId="62E39971" w14:textId="74691AD3" w:rsidR="00BF0B7C" w:rsidRPr="00BF0B7C" w:rsidRDefault="00BF0B7C" w:rsidP="00BF0B7C">
                  <w:pPr>
                    <w:pStyle w:val="Brezrazmikov"/>
                    <w:jc w:val="center"/>
                    <w:rPr>
                      <w:b/>
                      <w:bCs/>
                      <w:i/>
                      <w:iCs/>
                    </w:rPr>
                  </w:pPr>
                  <w:r w:rsidRPr="00BF0B7C">
                    <w:rPr>
                      <w:b/>
                      <w:bCs/>
                      <w:i/>
                      <w:iCs/>
                    </w:rPr>
                    <w:t>GOSPODARSTVO</w:t>
                  </w:r>
                </w:p>
              </w:tc>
            </w:tr>
            <w:tr w:rsidR="00BF0B7C" w14:paraId="1F521B88" w14:textId="77777777" w:rsidTr="00BF0B7C">
              <w:tc>
                <w:tcPr>
                  <w:tcW w:w="3457" w:type="dxa"/>
                </w:tcPr>
                <w:p w14:paraId="34758435" w14:textId="64E4FB9E" w:rsidR="00BF0B7C" w:rsidRDefault="00624263" w:rsidP="00E358B0">
                  <w:pPr>
                    <w:pStyle w:val="Brezrazmikov"/>
                    <w:jc w:val="both"/>
                  </w:pPr>
                  <w:r>
                    <w:t xml:space="preserve">Pomoč </w:t>
                  </w:r>
                  <w:r w:rsidR="0041739C">
                    <w:t>za gospodarstvo</w:t>
                  </w:r>
                </w:p>
              </w:tc>
              <w:tc>
                <w:tcPr>
                  <w:tcW w:w="3457" w:type="dxa"/>
                </w:tcPr>
                <w:p w14:paraId="1B5DBBCC" w14:textId="755D4D1B" w:rsidR="00BF0B7C" w:rsidRDefault="009C5779" w:rsidP="00E358B0">
                  <w:pPr>
                    <w:pStyle w:val="Brezrazmikov"/>
                    <w:jc w:val="both"/>
                  </w:pPr>
                  <w:r>
                    <w:t>/</w:t>
                  </w:r>
                </w:p>
              </w:tc>
              <w:tc>
                <w:tcPr>
                  <w:tcW w:w="3457" w:type="dxa"/>
                </w:tcPr>
                <w:p w14:paraId="75FA5314" w14:textId="089188A7" w:rsidR="00BF0B7C" w:rsidRDefault="009155E2" w:rsidP="00E358B0">
                  <w:pPr>
                    <w:pStyle w:val="Brezrazmikov"/>
                    <w:jc w:val="both"/>
                  </w:pPr>
                  <w:r w:rsidRPr="009155E2">
                    <w:t>Višina pomoči se določi glede na dejansko velikost čistih prihodkov od prodaje v letu 2019</w:t>
                  </w:r>
                  <w:r w:rsidR="00144DFA">
                    <w:t xml:space="preserve"> (oz.2020, 2021) </w:t>
                  </w:r>
                  <w:r w:rsidRPr="009155E2">
                    <w:t xml:space="preserve"> in glede na delež stroškov energije v celotnih poslovnih odhodkih v letu 2019</w:t>
                  </w:r>
                  <w:r w:rsidR="00144DFA">
                    <w:t xml:space="preserve"> (oz. 2020, 2021)</w:t>
                  </w:r>
                  <w:r>
                    <w:t>.</w:t>
                  </w:r>
                  <w:r w:rsidR="00624263">
                    <w:t xml:space="preserve"> sedmi odstavek 2. člena določa omejitev višine pomoči.</w:t>
                  </w:r>
                </w:p>
              </w:tc>
            </w:tr>
          </w:tbl>
          <w:p w14:paraId="52506B03" w14:textId="77777777" w:rsidR="00E358B0" w:rsidRDefault="00E358B0" w:rsidP="00E358B0">
            <w:pPr>
              <w:pStyle w:val="Brezrazmikov"/>
              <w:jc w:val="both"/>
            </w:pPr>
          </w:p>
        </w:tc>
      </w:tr>
      <w:tr w:rsidR="00BF0B7C" w14:paraId="18CBF70C" w14:textId="77777777" w:rsidTr="00E358B0">
        <w:tc>
          <w:tcPr>
            <w:tcW w:w="3397" w:type="dxa"/>
          </w:tcPr>
          <w:p w14:paraId="052E8DE5" w14:textId="77777777" w:rsidR="00BF0B7C" w:rsidRDefault="00BF0B7C" w:rsidP="00E358B0">
            <w:pPr>
              <w:pStyle w:val="Brezrazmikov"/>
              <w:jc w:val="both"/>
            </w:pPr>
          </w:p>
        </w:tc>
        <w:tc>
          <w:tcPr>
            <w:tcW w:w="10597" w:type="dxa"/>
          </w:tcPr>
          <w:p w14:paraId="66063FD7" w14:textId="77777777" w:rsidR="00BF0B7C" w:rsidRDefault="00BF0B7C" w:rsidP="00E358B0">
            <w:pPr>
              <w:pStyle w:val="Brezrazmikov"/>
              <w:jc w:val="both"/>
            </w:pPr>
          </w:p>
        </w:tc>
      </w:tr>
      <w:tr w:rsidR="00E358B0" w14:paraId="3F021E83" w14:textId="77777777" w:rsidTr="00E358B0">
        <w:tc>
          <w:tcPr>
            <w:tcW w:w="3397" w:type="dxa"/>
          </w:tcPr>
          <w:p w14:paraId="1B89BBDE" w14:textId="6FB95BDE" w:rsidR="006647DC" w:rsidRPr="00EF1725" w:rsidRDefault="00AA3AD5" w:rsidP="00E358B0">
            <w:pPr>
              <w:pStyle w:val="Brezrazmikov"/>
              <w:jc w:val="both"/>
              <w:rPr>
                <w:b/>
                <w:bCs/>
              </w:rPr>
            </w:pPr>
            <w:hyperlink r:id="rId14" w:history="1">
              <w:r w:rsidR="007120D3" w:rsidRPr="00EF1725">
                <w:rPr>
                  <w:rStyle w:val="Hiperpovezava"/>
                  <w:b/>
                  <w:bCs/>
                </w:rPr>
                <w:t xml:space="preserve">Zakon o </w:t>
              </w:r>
              <w:r w:rsidR="00C526FC" w:rsidRPr="00EF1725">
                <w:rPr>
                  <w:rStyle w:val="Hiperpovezava"/>
                  <w:b/>
                  <w:bCs/>
                </w:rPr>
                <w:t>začasnih ukrepih za omilitev posledic draginje za upravičence do otroškega dodatka</w:t>
              </w:r>
            </w:hyperlink>
          </w:p>
          <w:p w14:paraId="074337B8" w14:textId="77777777" w:rsidR="00C526FC" w:rsidRDefault="00C526FC" w:rsidP="00E358B0">
            <w:pPr>
              <w:pStyle w:val="Brezrazmikov"/>
              <w:jc w:val="both"/>
            </w:pPr>
          </w:p>
          <w:p w14:paraId="3EBD8C22" w14:textId="136BED6D" w:rsidR="006647DC" w:rsidRDefault="006647DC" w:rsidP="00E358B0">
            <w:pPr>
              <w:pStyle w:val="Brezrazmikov"/>
              <w:jc w:val="both"/>
            </w:pPr>
            <w:r w:rsidRPr="00365174">
              <w:rPr>
                <w:color w:val="FF0000"/>
              </w:rPr>
              <w:t>Ob predpostavki, da bo draginjski dodatek izplačan prvič novembra 2022, prinaša finančne posledice za državni proračun v skupni višini okoli 63 milijonov € oz. 42 milijonov € leta 2022 in 21 milijonov € leta 2023</w:t>
            </w:r>
            <w:r w:rsidRPr="006647DC">
              <w:t xml:space="preserve">. </w:t>
            </w:r>
          </w:p>
        </w:tc>
        <w:tc>
          <w:tcPr>
            <w:tcW w:w="10597" w:type="dxa"/>
          </w:tcPr>
          <w:tbl>
            <w:tblPr>
              <w:tblStyle w:val="Tabelamrea"/>
              <w:tblW w:w="0" w:type="auto"/>
              <w:tblLook w:val="04A0" w:firstRow="1" w:lastRow="0" w:firstColumn="1" w:lastColumn="0" w:noHBand="0" w:noVBand="1"/>
            </w:tblPr>
            <w:tblGrid>
              <w:gridCol w:w="3457"/>
              <w:gridCol w:w="3457"/>
              <w:gridCol w:w="3457"/>
            </w:tblGrid>
            <w:tr w:rsidR="00677E37" w14:paraId="787AEE80" w14:textId="77777777" w:rsidTr="00677E37">
              <w:tc>
                <w:tcPr>
                  <w:tcW w:w="3457" w:type="dxa"/>
                  <w:shd w:val="clear" w:color="auto" w:fill="E7E6E6" w:themeFill="background2"/>
                </w:tcPr>
                <w:p w14:paraId="6487FA4E" w14:textId="17A0E982" w:rsidR="00677E37" w:rsidRPr="00677E37" w:rsidRDefault="00677E37" w:rsidP="00677E37">
                  <w:pPr>
                    <w:pStyle w:val="Brezrazmikov"/>
                    <w:jc w:val="center"/>
                    <w:rPr>
                      <w:b/>
                      <w:bCs/>
                      <w:i/>
                      <w:iCs/>
                    </w:rPr>
                  </w:pPr>
                  <w:r w:rsidRPr="00677E37">
                    <w:rPr>
                      <w:b/>
                      <w:bCs/>
                      <w:i/>
                      <w:iCs/>
                    </w:rPr>
                    <w:t>UKREP</w:t>
                  </w:r>
                </w:p>
              </w:tc>
              <w:tc>
                <w:tcPr>
                  <w:tcW w:w="3457" w:type="dxa"/>
                  <w:shd w:val="clear" w:color="auto" w:fill="E7E6E6" w:themeFill="background2"/>
                </w:tcPr>
                <w:p w14:paraId="4F9A5F65" w14:textId="2F1969B7" w:rsidR="00677E37" w:rsidRPr="00677E37" w:rsidRDefault="00677E37" w:rsidP="00677E37">
                  <w:pPr>
                    <w:pStyle w:val="Brezrazmikov"/>
                    <w:jc w:val="center"/>
                    <w:rPr>
                      <w:b/>
                      <w:bCs/>
                      <w:i/>
                      <w:iCs/>
                    </w:rPr>
                  </w:pPr>
                  <w:r w:rsidRPr="00677E37">
                    <w:rPr>
                      <w:b/>
                      <w:bCs/>
                      <w:i/>
                      <w:iCs/>
                    </w:rPr>
                    <w:t>GOSPODINJSTVA</w:t>
                  </w:r>
                </w:p>
              </w:tc>
              <w:tc>
                <w:tcPr>
                  <w:tcW w:w="3457" w:type="dxa"/>
                  <w:shd w:val="clear" w:color="auto" w:fill="E7E6E6" w:themeFill="background2"/>
                </w:tcPr>
                <w:p w14:paraId="704A9675" w14:textId="60CDF3B3" w:rsidR="00677E37" w:rsidRPr="00677E37" w:rsidRDefault="00677E37" w:rsidP="00677E37">
                  <w:pPr>
                    <w:pStyle w:val="Brezrazmikov"/>
                    <w:jc w:val="center"/>
                    <w:rPr>
                      <w:b/>
                      <w:bCs/>
                      <w:i/>
                      <w:iCs/>
                    </w:rPr>
                  </w:pPr>
                  <w:r w:rsidRPr="00677E37">
                    <w:rPr>
                      <w:b/>
                      <w:bCs/>
                      <w:i/>
                      <w:iCs/>
                    </w:rPr>
                    <w:t>GOSPODARSTVO</w:t>
                  </w:r>
                </w:p>
              </w:tc>
            </w:tr>
            <w:tr w:rsidR="00677E37" w14:paraId="36EE492C" w14:textId="77777777" w:rsidTr="00677E37">
              <w:tc>
                <w:tcPr>
                  <w:tcW w:w="3457" w:type="dxa"/>
                </w:tcPr>
                <w:p w14:paraId="1F1CA933" w14:textId="533E5B3A" w:rsidR="00677E37" w:rsidRDefault="00677E37" w:rsidP="00E358B0">
                  <w:pPr>
                    <w:pStyle w:val="Brezrazmikov"/>
                    <w:jc w:val="both"/>
                  </w:pPr>
                  <w:r>
                    <w:t>Draginjski otroški dodatek</w:t>
                  </w:r>
                </w:p>
              </w:tc>
              <w:tc>
                <w:tcPr>
                  <w:tcW w:w="3457" w:type="dxa"/>
                </w:tcPr>
                <w:p w14:paraId="2993D761" w14:textId="2BD70955" w:rsidR="00677E37" w:rsidRDefault="00671F68" w:rsidP="00E358B0">
                  <w:pPr>
                    <w:pStyle w:val="Brezrazmikov"/>
                    <w:jc w:val="both"/>
                  </w:pPr>
                  <w:r>
                    <w:t>D</w:t>
                  </w:r>
                  <w:r w:rsidRPr="00671F68">
                    <w:t>ružinam, ki so upravičene do otroškega dodatka</w:t>
                  </w:r>
                  <w:r>
                    <w:t xml:space="preserve"> bodo </w:t>
                  </w:r>
                  <w:r w:rsidRPr="00671F68">
                    <w:t> </w:t>
                  </w:r>
                  <w:r w:rsidRPr="00671F68">
                    <w:rPr>
                      <w:b/>
                      <w:bCs/>
                    </w:rPr>
                    <w:t>v novembru in decembru 2022 ter januarju 2023</w:t>
                  </w:r>
                  <w:r w:rsidRPr="00671F68">
                    <w:t> poleg otroškega dodatka za vsakega otroka prejele tudi draginjski dodatek. </w:t>
                  </w:r>
                  <w:r>
                    <w:t>Višina odvisna od uvrstitve v dohodkovni razred.</w:t>
                  </w:r>
                </w:p>
              </w:tc>
              <w:tc>
                <w:tcPr>
                  <w:tcW w:w="3457" w:type="dxa"/>
                </w:tcPr>
                <w:p w14:paraId="27BA7384" w14:textId="6059FEB6" w:rsidR="00677E37" w:rsidRDefault="00677E37" w:rsidP="00E358B0">
                  <w:pPr>
                    <w:pStyle w:val="Brezrazmikov"/>
                    <w:jc w:val="both"/>
                  </w:pPr>
                  <w:r>
                    <w:t>/</w:t>
                  </w:r>
                </w:p>
              </w:tc>
            </w:tr>
          </w:tbl>
          <w:p w14:paraId="08B5BC36" w14:textId="77777777" w:rsidR="00E358B0" w:rsidRDefault="00E358B0" w:rsidP="00E358B0">
            <w:pPr>
              <w:pStyle w:val="Brezrazmikov"/>
              <w:jc w:val="both"/>
            </w:pPr>
          </w:p>
        </w:tc>
      </w:tr>
      <w:tr w:rsidR="00C01E2A" w14:paraId="331F9916" w14:textId="77777777" w:rsidTr="00E358B0">
        <w:tc>
          <w:tcPr>
            <w:tcW w:w="3397" w:type="dxa"/>
          </w:tcPr>
          <w:p w14:paraId="3D6EF76C" w14:textId="77777777" w:rsidR="00C01E2A" w:rsidRPr="00EF1725" w:rsidRDefault="00C01E2A" w:rsidP="00E358B0">
            <w:pPr>
              <w:pStyle w:val="Brezrazmikov"/>
              <w:jc w:val="both"/>
              <w:rPr>
                <w:b/>
                <w:bCs/>
              </w:rPr>
            </w:pPr>
          </w:p>
        </w:tc>
        <w:tc>
          <w:tcPr>
            <w:tcW w:w="10597" w:type="dxa"/>
          </w:tcPr>
          <w:p w14:paraId="6516B4B6" w14:textId="77777777" w:rsidR="00C01E2A" w:rsidRPr="00677E37" w:rsidRDefault="00C01E2A" w:rsidP="00677E37">
            <w:pPr>
              <w:pStyle w:val="Brezrazmikov"/>
              <w:jc w:val="center"/>
              <w:rPr>
                <w:b/>
                <w:bCs/>
                <w:i/>
                <w:iCs/>
              </w:rPr>
            </w:pPr>
          </w:p>
        </w:tc>
      </w:tr>
      <w:tr w:rsidR="008324B1" w14:paraId="739C835B" w14:textId="77777777" w:rsidTr="00E358B0">
        <w:tc>
          <w:tcPr>
            <w:tcW w:w="3397" w:type="dxa"/>
          </w:tcPr>
          <w:p w14:paraId="44CD70FF" w14:textId="77777777" w:rsidR="008324B1" w:rsidRPr="009C7CCB" w:rsidRDefault="00AA3AD5" w:rsidP="00E358B0">
            <w:pPr>
              <w:pStyle w:val="Brezrazmikov"/>
              <w:jc w:val="both"/>
              <w:rPr>
                <w:b/>
                <w:bCs/>
              </w:rPr>
            </w:pPr>
            <w:hyperlink r:id="rId15" w:history="1">
              <w:r w:rsidR="00C01E2A" w:rsidRPr="009C7CCB">
                <w:rPr>
                  <w:rStyle w:val="Hiperpovezava"/>
                  <w:b/>
                  <w:bCs/>
                </w:rPr>
                <w:t>Zakon o nujnem ukrepu na področju davka na dodano vrednost za omilitev dviga cen energentov</w:t>
              </w:r>
            </w:hyperlink>
          </w:p>
          <w:p w14:paraId="53C665F2" w14:textId="77777777" w:rsidR="009C7CCB" w:rsidRDefault="009C7CCB" w:rsidP="00E358B0">
            <w:pPr>
              <w:pStyle w:val="Brezrazmikov"/>
              <w:jc w:val="both"/>
            </w:pPr>
          </w:p>
          <w:p w14:paraId="7771A5C0" w14:textId="329D7A48" w:rsidR="009C7CCB" w:rsidRDefault="00FA3D70" w:rsidP="00E358B0">
            <w:pPr>
              <w:pStyle w:val="Brezrazmikov"/>
              <w:jc w:val="both"/>
            </w:pPr>
            <w:r w:rsidRPr="00BA5949">
              <w:rPr>
                <w:color w:val="FF0000"/>
              </w:rPr>
              <w:t>Znižanje prihodkov državnega proračuna iz naslova DDV v višini 130 milijonov €, od tega bodo za 40 milijonov € nižji prihodki v letu 2022 in za 90 milijonov € v letu 2023.</w:t>
            </w:r>
          </w:p>
        </w:tc>
        <w:tc>
          <w:tcPr>
            <w:tcW w:w="10597" w:type="dxa"/>
          </w:tcPr>
          <w:p w14:paraId="17162A91" w14:textId="77777777" w:rsidR="001655F6" w:rsidRPr="001655F6" w:rsidRDefault="001655F6" w:rsidP="001655F6">
            <w:pPr>
              <w:pStyle w:val="Brezrazmikov"/>
            </w:pPr>
            <w:r w:rsidRPr="001655F6">
              <w:lastRenderedPageBreak/>
              <w:t>DDV obračunava in plačuje po nižji stopnji 9,5 % od davčne osnove za naslednje dobave:</w:t>
            </w:r>
          </w:p>
          <w:p w14:paraId="486BA9B5" w14:textId="77777777" w:rsidR="001655F6" w:rsidRPr="001655F6" w:rsidRDefault="001655F6" w:rsidP="001655F6">
            <w:pPr>
              <w:pStyle w:val="Brezrazmikov"/>
            </w:pPr>
            <w:r w:rsidRPr="001655F6">
              <w:t>– električne energije iz tarifne oznake 2716 00 00;</w:t>
            </w:r>
          </w:p>
          <w:p w14:paraId="655A64F6" w14:textId="77777777" w:rsidR="001655F6" w:rsidRPr="001655F6" w:rsidRDefault="001655F6" w:rsidP="001655F6">
            <w:pPr>
              <w:pStyle w:val="Brezrazmikov"/>
            </w:pPr>
            <w:r w:rsidRPr="001655F6">
              <w:t>– zemeljskega plina iz tarifnih oznak 2711 11 00, 2711 21 00 in 2711 29 00;</w:t>
            </w:r>
          </w:p>
          <w:p w14:paraId="57E013E6" w14:textId="77777777" w:rsidR="001655F6" w:rsidRPr="001655F6" w:rsidRDefault="001655F6" w:rsidP="001655F6">
            <w:pPr>
              <w:pStyle w:val="Brezrazmikov"/>
            </w:pPr>
            <w:r w:rsidRPr="001655F6">
              <w:t>– daljinskega ogrevanja, uvrščenega v šifro standardne klasifikacije dejavnosti D/35.30;</w:t>
            </w:r>
          </w:p>
          <w:p w14:paraId="4A6832EC" w14:textId="77777777" w:rsidR="001655F6" w:rsidRPr="001655F6" w:rsidRDefault="001655F6" w:rsidP="001655F6">
            <w:pPr>
              <w:pStyle w:val="Brezrazmikov"/>
            </w:pPr>
            <w:r w:rsidRPr="001655F6">
              <w:lastRenderedPageBreak/>
              <w:t>– lesa za kurjavo iz tarifne oznake 4401.</w:t>
            </w:r>
          </w:p>
          <w:p w14:paraId="5DF0A2A5" w14:textId="77777777" w:rsidR="008324B1" w:rsidRPr="00FA3D70" w:rsidRDefault="008324B1" w:rsidP="00FA3D70">
            <w:pPr>
              <w:pStyle w:val="Brezrazmikov"/>
              <w:jc w:val="both"/>
            </w:pPr>
          </w:p>
        </w:tc>
      </w:tr>
      <w:tr w:rsidR="00C01E2A" w14:paraId="7CA27E2D" w14:textId="77777777" w:rsidTr="00E358B0">
        <w:tc>
          <w:tcPr>
            <w:tcW w:w="3397" w:type="dxa"/>
          </w:tcPr>
          <w:p w14:paraId="55E19090" w14:textId="77777777" w:rsidR="00C01E2A" w:rsidRDefault="00C01E2A" w:rsidP="00E358B0">
            <w:pPr>
              <w:pStyle w:val="Brezrazmikov"/>
              <w:jc w:val="both"/>
            </w:pPr>
          </w:p>
        </w:tc>
        <w:tc>
          <w:tcPr>
            <w:tcW w:w="10597" w:type="dxa"/>
          </w:tcPr>
          <w:p w14:paraId="4973DAEC" w14:textId="77777777" w:rsidR="00C01E2A" w:rsidRPr="00677E37" w:rsidRDefault="00C01E2A" w:rsidP="00677E37">
            <w:pPr>
              <w:pStyle w:val="Brezrazmikov"/>
              <w:jc w:val="center"/>
              <w:rPr>
                <w:b/>
                <w:bCs/>
                <w:i/>
                <w:iCs/>
              </w:rPr>
            </w:pPr>
          </w:p>
        </w:tc>
      </w:tr>
      <w:tr w:rsidR="006C1E1D" w14:paraId="077CCDD6" w14:textId="77777777" w:rsidTr="00E358B0">
        <w:tc>
          <w:tcPr>
            <w:tcW w:w="3397" w:type="dxa"/>
          </w:tcPr>
          <w:p w14:paraId="0D51AEA7" w14:textId="77777777" w:rsidR="006C1E1D" w:rsidRDefault="00AA3AD5" w:rsidP="00E358B0">
            <w:pPr>
              <w:pStyle w:val="Brezrazmikov"/>
              <w:jc w:val="both"/>
              <w:rPr>
                <w:rStyle w:val="Hiperpovezava"/>
                <w:b/>
                <w:bCs/>
              </w:rPr>
            </w:pPr>
            <w:hyperlink r:id="rId16" w:history="1">
              <w:r w:rsidR="006C1E1D" w:rsidRPr="006C1E1D">
                <w:rPr>
                  <w:rStyle w:val="Hiperpovezava"/>
                  <w:b/>
                  <w:bCs/>
                </w:rPr>
                <w:t>Zakon o nujnih ukrepih za omilitev posledic zaradi vpliva visokih cen energentov (ZUOPVCE)</w:t>
              </w:r>
            </w:hyperlink>
          </w:p>
          <w:p w14:paraId="24512041" w14:textId="77777777" w:rsidR="00715CC5" w:rsidRDefault="00715CC5" w:rsidP="00E358B0">
            <w:pPr>
              <w:pStyle w:val="Brezrazmikov"/>
              <w:jc w:val="both"/>
              <w:rPr>
                <w:rStyle w:val="Hiperpovezava"/>
                <w:b/>
                <w:bCs/>
              </w:rPr>
            </w:pPr>
          </w:p>
          <w:p w14:paraId="2DE7F39E" w14:textId="473D4599" w:rsidR="00F76B73" w:rsidRDefault="00F76B73" w:rsidP="00E358B0">
            <w:pPr>
              <w:pStyle w:val="Brezrazmikov"/>
              <w:jc w:val="both"/>
              <w:rPr>
                <w:color w:val="FF0000"/>
              </w:rPr>
            </w:pPr>
            <w:r>
              <w:rPr>
                <w:color w:val="FF0000"/>
              </w:rPr>
              <w:t xml:space="preserve">Ukrep »energetski boni« </w:t>
            </w:r>
            <w:r w:rsidR="00423C7F">
              <w:rPr>
                <w:color w:val="FF0000"/>
              </w:rPr>
              <w:t>je imel v letu 2022 finančni učinek na sektor države</w:t>
            </w:r>
            <w:r w:rsidR="00F853AB">
              <w:rPr>
                <w:color w:val="FF0000"/>
              </w:rPr>
              <w:t xml:space="preserve"> okoli 93 milijonov €. V letu 2023 ni predvidenih finančnih učinkov. </w:t>
            </w:r>
          </w:p>
          <w:p w14:paraId="14A3E83C" w14:textId="77777777" w:rsidR="00E7274C" w:rsidRDefault="00E7274C" w:rsidP="00E358B0">
            <w:pPr>
              <w:pStyle w:val="Brezrazmikov"/>
              <w:jc w:val="both"/>
              <w:rPr>
                <w:color w:val="FF0000"/>
              </w:rPr>
            </w:pPr>
          </w:p>
          <w:p w14:paraId="4D2D491F" w14:textId="6112438D" w:rsidR="00715CC5" w:rsidRPr="006C1E1D" w:rsidRDefault="00127FAF" w:rsidP="00E358B0">
            <w:pPr>
              <w:pStyle w:val="Brezrazmikov"/>
              <w:jc w:val="both"/>
              <w:rPr>
                <w:b/>
                <w:bCs/>
              </w:rPr>
            </w:pPr>
            <w:r w:rsidRPr="00836098">
              <w:rPr>
                <w:color w:val="FF0000"/>
              </w:rPr>
              <w:t>U</w:t>
            </w:r>
            <w:r w:rsidR="00715CC5" w:rsidRPr="00836098">
              <w:rPr>
                <w:color w:val="FF0000"/>
              </w:rPr>
              <w:t>krep</w:t>
            </w:r>
            <w:r w:rsidR="00073FB9" w:rsidRPr="00836098">
              <w:rPr>
                <w:color w:val="FF0000"/>
              </w:rPr>
              <w:t xml:space="preserve"> znižanja tarifnih postavk za </w:t>
            </w:r>
            <w:r w:rsidRPr="00836098">
              <w:rPr>
                <w:color w:val="FF0000"/>
              </w:rPr>
              <w:t>obračunsko</w:t>
            </w:r>
            <w:r w:rsidR="00073FB9" w:rsidRPr="00836098">
              <w:rPr>
                <w:color w:val="FF0000"/>
              </w:rPr>
              <w:t xml:space="preserve"> moč in prevzeto delovno energijo, je v letu 2022 </w:t>
            </w:r>
            <w:r w:rsidRPr="00836098">
              <w:rPr>
                <w:color w:val="FF0000"/>
              </w:rPr>
              <w:t>predstav</w:t>
            </w:r>
            <w:r w:rsidR="0065188A" w:rsidRPr="00836098">
              <w:rPr>
                <w:color w:val="FF0000"/>
              </w:rPr>
              <w:t xml:space="preserve">ljal </w:t>
            </w:r>
            <w:r w:rsidR="00836098" w:rsidRPr="00836098">
              <w:rPr>
                <w:color w:val="FF0000"/>
              </w:rPr>
              <w:t xml:space="preserve">finančni učinek </w:t>
            </w:r>
            <w:r w:rsidR="00423C7F">
              <w:rPr>
                <w:color w:val="FF0000"/>
              </w:rPr>
              <w:t>izven</w:t>
            </w:r>
            <w:r w:rsidR="00AB3572">
              <w:rPr>
                <w:color w:val="FF0000"/>
              </w:rPr>
              <w:t xml:space="preserve"> sektor</w:t>
            </w:r>
            <w:r w:rsidR="00423C7F">
              <w:rPr>
                <w:color w:val="FF0000"/>
              </w:rPr>
              <w:t>ja</w:t>
            </w:r>
            <w:r w:rsidR="00AB3572">
              <w:rPr>
                <w:color w:val="FF0000"/>
              </w:rPr>
              <w:t xml:space="preserve"> države </w:t>
            </w:r>
            <w:r w:rsidR="0065188A" w:rsidRPr="00836098">
              <w:rPr>
                <w:color w:val="FF0000"/>
              </w:rPr>
              <w:t xml:space="preserve">okoli </w:t>
            </w:r>
            <w:r w:rsidR="00A17A17" w:rsidRPr="00836098">
              <w:rPr>
                <w:color w:val="FF0000"/>
              </w:rPr>
              <w:t xml:space="preserve">81 milijonov €. V letu 2023 ni predvidenih </w:t>
            </w:r>
            <w:r w:rsidR="00836098" w:rsidRPr="00836098">
              <w:rPr>
                <w:color w:val="FF0000"/>
              </w:rPr>
              <w:t xml:space="preserve">finančnih učinkov. </w:t>
            </w:r>
          </w:p>
        </w:tc>
        <w:tc>
          <w:tcPr>
            <w:tcW w:w="10597" w:type="dxa"/>
          </w:tcPr>
          <w:tbl>
            <w:tblPr>
              <w:tblStyle w:val="Tabelamrea"/>
              <w:tblW w:w="0" w:type="auto"/>
              <w:tblLook w:val="04A0" w:firstRow="1" w:lastRow="0" w:firstColumn="1" w:lastColumn="0" w:noHBand="0" w:noVBand="1"/>
            </w:tblPr>
            <w:tblGrid>
              <w:gridCol w:w="3457"/>
              <w:gridCol w:w="3457"/>
              <w:gridCol w:w="3457"/>
            </w:tblGrid>
            <w:tr w:rsidR="007E068C" w14:paraId="442726AC" w14:textId="77777777" w:rsidTr="00A74462">
              <w:tc>
                <w:tcPr>
                  <w:tcW w:w="3457" w:type="dxa"/>
                  <w:shd w:val="clear" w:color="auto" w:fill="E7E6E6" w:themeFill="background2"/>
                </w:tcPr>
                <w:p w14:paraId="27907A72" w14:textId="2FEF24AD" w:rsidR="007E068C" w:rsidRPr="007E068C" w:rsidRDefault="007E068C" w:rsidP="007E068C">
                  <w:pPr>
                    <w:pStyle w:val="Brezrazmikov"/>
                    <w:jc w:val="center"/>
                    <w:rPr>
                      <w:b/>
                      <w:bCs/>
                      <w:i/>
                      <w:iCs/>
                    </w:rPr>
                  </w:pPr>
                  <w:r w:rsidRPr="007E068C">
                    <w:rPr>
                      <w:b/>
                      <w:bCs/>
                      <w:i/>
                      <w:iCs/>
                    </w:rPr>
                    <w:t>UKREP</w:t>
                  </w:r>
                </w:p>
              </w:tc>
              <w:tc>
                <w:tcPr>
                  <w:tcW w:w="3457" w:type="dxa"/>
                  <w:shd w:val="clear" w:color="auto" w:fill="E7E6E6" w:themeFill="background2"/>
                </w:tcPr>
                <w:p w14:paraId="6CB62142" w14:textId="32C16F7C" w:rsidR="007E068C" w:rsidRPr="007E068C" w:rsidRDefault="007E068C" w:rsidP="007E068C">
                  <w:pPr>
                    <w:pStyle w:val="Brezrazmikov"/>
                    <w:jc w:val="center"/>
                    <w:rPr>
                      <w:b/>
                      <w:bCs/>
                      <w:i/>
                      <w:iCs/>
                    </w:rPr>
                  </w:pPr>
                  <w:r w:rsidRPr="007E068C">
                    <w:rPr>
                      <w:b/>
                      <w:bCs/>
                      <w:i/>
                      <w:iCs/>
                    </w:rPr>
                    <w:t>GOSPODINJSTVA</w:t>
                  </w:r>
                </w:p>
              </w:tc>
              <w:tc>
                <w:tcPr>
                  <w:tcW w:w="3457" w:type="dxa"/>
                  <w:shd w:val="clear" w:color="auto" w:fill="E7E6E6" w:themeFill="background2"/>
                </w:tcPr>
                <w:p w14:paraId="2226C382" w14:textId="6217A220" w:rsidR="007E068C" w:rsidRPr="007E068C" w:rsidRDefault="007E068C" w:rsidP="007E068C">
                  <w:pPr>
                    <w:pStyle w:val="Brezrazmikov"/>
                    <w:jc w:val="center"/>
                    <w:rPr>
                      <w:b/>
                      <w:bCs/>
                      <w:i/>
                      <w:iCs/>
                    </w:rPr>
                  </w:pPr>
                  <w:r w:rsidRPr="007E068C">
                    <w:rPr>
                      <w:b/>
                      <w:bCs/>
                      <w:i/>
                      <w:iCs/>
                    </w:rPr>
                    <w:t>GOSPODARSTVO</w:t>
                  </w:r>
                </w:p>
              </w:tc>
            </w:tr>
            <w:tr w:rsidR="007E068C" w14:paraId="4C6D8D02" w14:textId="77777777" w:rsidTr="007E068C">
              <w:tc>
                <w:tcPr>
                  <w:tcW w:w="3457" w:type="dxa"/>
                </w:tcPr>
                <w:p w14:paraId="2D036329" w14:textId="19123E6D" w:rsidR="007E068C" w:rsidRPr="00180710" w:rsidRDefault="00180710" w:rsidP="007E068C">
                  <w:pPr>
                    <w:pStyle w:val="Brezrazmikov"/>
                    <w:jc w:val="both"/>
                  </w:pPr>
                  <w:r w:rsidRPr="00180710">
                    <w:t>Solidarnostni dodatek za odpravo posledic energetske revščine</w:t>
                  </w:r>
                  <w:r w:rsidR="00F76B73">
                    <w:t xml:space="preserve"> (»energetski boni«)</w:t>
                  </w:r>
                </w:p>
              </w:tc>
              <w:tc>
                <w:tcPr>
                  <w:tcW w:w="3457" w:type="dxa"/>
                </w:tcPr>
                <w:p w14:paraId="75FFEB17" w14:textId="1491436B" w:rsidR="007E068C" w:rsidRDefault="00180710" w:rsidP="007E068C">
                  <w:pPr>
                    <w:pStyle w:val="Brezrazmikov"/>
                    <w:jc w:val="both"/>
                  </w:pPr>
                  <w:r>
                    <w:t>Zakonsko določeni upravičenci (2. člen) prejmejo enkraten solidarnostni dodatek v višini 150 €.</w:t>
                  </w:r>
                </w:p>
              </w:tc>
              <w:tc>
                <w:tcPr>
                  <w:tcW w:w="3457" w:type="dxa"/>
                </w:tcPr>
                <w:p w14:paraId="75EAD154" w14:textId="2B9F48DC" w:rsidR="007E068C" w:rsidRDefault="008C0281" w:rsidP="007E068C">
                  <w:pPr>
                    <w:pStyle w:val="Brezrazmikov"/>
                    <w:jc w:val="both"/>
                  </w:pPr>
                  <w:r>
                    <w:t>/</w:t>
                  </w:r>
                </w:p>
              </w:tc>
            </w:tr>
            <w:tr w:rsidR="00BE3D6B" w14:paraId="29E27247" w14:textId="77777777" w:rsidTr="007E068C">
              <w:tc>
                <w:tcPr>
                  <w:tcW w:w="3457" w:type="dxa"/>
                </w:tcPr>
                <w:p w14:paraId="7D4763C4" w14:textId="7FB8CF5A" w:rsidR="00BE3D6B" w:rsidRDefault="00715CC5" w:rsidP="007E068C">
                  <w:pPr>
                    <w:pStyle w:val="Brezrazmikov"/>
                    <w:jc w:val="both"/>
                  </w:pPr>
                  <w:r>
                    <w:t>Z</w:t>
                  </w:r>
                  <w:r w:rsidR="003110ED" w:rsidRPr="003110ED">
                    <w:t>nižanje tarifnih postavk za obračunsko moč in prevzeto delovno energijo ter donosnost elektrooperaterjev</w:t>
                  </w:r>
                </w:p>
                <w:p w14:paraId="33BE4E82" w14:textId="77777777" w:rsidR="00AD628D" w:rsidRDefault="00AD628D" w:rsidP="007E068C">
                  <w:pPr>
                    <w:pStyle w:val="Brezrazmikov"/>
                    <w:jc w:val="both"/>
                  </w:pPr>
                </w:p>
                <w:p w14:paraId="113CA791" w14:textId="7990E401" w:rsidR="00AD628D" w:rsidRPr="00180710" w:rsidRDefault="00992B9D" w:rsidP="007E068C">
                  <w:pPr>
                    <w:pStyle w:val="Brezrazmikov"/>
                    <w:jc w:val="both"/>
                  </w:pPr>
                  <w:r>
                    <w:t>(ukrep veljal od 1. februarja 2022 do 30. aprila 2022)</w:t>
                  </w:r>
                </w:p>
              </w:tc>
              <w:tc>
                <w:tcPr>
                  <w:tcW w:w="3457" w:type="dxa"/>
                </w:tcPr>
                <w:p w14:paraId="5EF51481" w14:textId="7930A904" w:rsidR="00BE3D6B" w:rsidRDefault="00D06C52" w:rsidP="007E068C">
                  <w:pPr>
                    <w:pStyle w:val="Brezrazmikov"/>
                    <w:jc w:val="both"/>
                  </w:pPr>
                  <w:r>
                    <w:t>T</w:t>
                  </w:r>
                  <w:r w:rsidRPr="00D06C52">
                    <w:t>arifne postavke elektrooperaterjev za obračunsko moč in prevzeto delovno energijo se za vse odjemne skupine znižajo na nič.</w:t>
                  </w:r>
                </w:p>
              </w:tc>
              <w:tc>
                <w:tcPr>
                  <w:tcW w:w="3457" w:type="dxa"/>
                </w:tcPr>
                <w:p w14:paraId="7B2086DB" w14:textId="1323B10A" w:rsidR="00BE3D6B" w:rsidRDefault="00365D32" w:rsidP="00AD628D">
                  <w:pPr>
                    <w:pStyle w:val="Brezrazmikov"/>
                  </w:pPr>
                  <w:r>
                    <w:t>Manko omrežnine za leto 2022</w:t>
                  </w:r>
                  <w:r w:rsidR="00AD628D">
                    <w:t xml:space="preserve">, se pokrije tako, da </w:t>
                  </w:r>
                  <w:r w:rsidR="00AD628D" w:rsidRPr="00AD628D">
                    <w:t>Agencija za energijo spremeni splošni akt, s katerim določa metodologijo za določitev upravičenih stroškov elektrooperaterjev iz 130. člena Zakona o oskrbi z električno energijo in v postopku odstopanj od tekočega regulativnega obdobja za leto 2022 zniža priznano stopnjo donosnosti elektrooperaterjev.</w:t>
                  </w:r>
                </w:p>
              </w:tc>
            </w:tr>
          </w:tbl>
          <w:p w14:paraId="5D5B0287" w14:textId="77777777" w:rsidR="006C1E1D" w:rsidRPr="007E068C" w:rsidRDefault="006C1E1D" w:rsidP="007E068C">
            <w:pPr>
              <w:pStyle w:val="Brezrazmikov"/>
              <w:jc w:val="both"/>
            </w:pPr>
          </w:p>
        </w:tc>
      </w:tr>
      <w:tr w:rsidR="009958B7" w14:paraId="208749E5" w14:textId="77777777" w:rsidTr="00E358B0">
        <w:tc>
          <w:tcPr>
            <w:tcW w:w="3397" w:type="dxa"/>
          </w:tcPr>
          <w:p w14:paraId="48DA5837" w14:textId="77777777" w:rsidR="009958B7" w:rsidRDefault="009958B7" w:rsidP="009958B7">
            <w:pPr>
              <w:pStyle w:val="Brezrazmikov"/>
              <w:jc w:val="center"/>
            </w:pPr>
          </w:p>
        </w:tc>
        <w:tc>
          <w:tcPr>
            <w:tcW w:w="10597" w:type="dxa"/>
          </w:tcPr>
          <w:p w14:paraId="7B770853" w14:textId="77777777" w:rsidR="009958B7" w:rsidRPr="00677E37" w:rsidRDefault="009958B7" w:rsidP="00677E37">
            <w:pPr>
              <w:pStyle w:val="Brezrazmikov"/>
              <w:jc w:val="center"/>
              <w:rPr>
                <w:b/>
                <w:bCs/>
                <w:i/>
                <w:iCs/>
              </w:rPr>
            </w:pPr>
          </w:p>
        </w:tc>
      </w:tr>
      <w:tr w:rsidR="008324B1" w14:paraId="25661C5D" w14:textId="77777777" w:rsidTr="00E358B0">
        <w:tc>
          <w:tcPr>
            <w:tcW w:w="3397" w:type="dxa"/>
          </w:tcPr>
          <w:p w14:paraId="5FB79AA5" w14:textId="424EA40C" w:rsidR="008324B1" w:rsidRPr="008324B1" w:rsidRDefault="00AA3AD5" w:rsidP="00E358B0">
            <w:pPr>
              <w:pStyle w:val="Brezrazmikov"/>
              <w:jc w:val="both"/>
              <w:rPr>
                <w:b/>
                <w:bCs/>
              </w:rPr>
            </w:pPr>
            <w:hyperlink r:id="rId17" w:history="1">
              <w:r w:rsidR="008324B1" w:rsidRPr="008324B1">
                <w:rPr>
                  <w:rStyle w:val="Hiperpovezava"/>
                  <w:b/>
                  <w:bCs/>
                </w:rPr>
                <w:t>Uredba o spremembah Uredbe o davčni obravnavi povračil stroškov in drugih dohodkov iz delovnega razmerja</w:t>
              </w:r>
            </w:hyperlink>
          </w:p>
        </w:tc>
        <w:tc>
          <w:tcPr>
            <w:tcW w:w="10597" w:type="dxa"/>
          </w:tcPr>
          <w:tbl>
            <w:tblPr>
              <w:tblStyle w:val="Tabelamrea"/>
              <w:tblW w:w="0" w:type="auto"/>
              <w:tblLook w:val="04A0" w:firstRow="1" w:lastRow="0" w:firstColumn="1" w:lastColumn="0" w:noHBand="0" w:noVBand="1"/>
            </w:tblPr>
            <w:tblGrid>
              <w:gridCol w:w="3457"/>
              <w:gridCol w:w="3457"/>
              <w:gridCol w:w="3457"/>
            </w:tblGrid>
            <w:tr w:rsidR="008324B1" w14:paraId="12BE29CE" w14:textId="77777777" w:rsidTr="008324B1">
              <w:tc>
                <w:tcPr>
                  <w:tcW w:w="3457" w:type="dxa"/>
                  <w:shd w:val="clear" w:color="auto" w:fill="E7E6E6" w:themeFill="background2"/>
                </w:tcPr>
                <w:p w14:paraId="3C8AE425" w14:textId="649ECCB5" w:rsidR="008324B1" w:rsidRPr="008324B1" w:rsidRDefault="008324B1" w:rsidP="008324B1">
                  <w:pPr>
                    <w:pStyle w:val="Brezrazmikov"/>
                    <w:jc w:val="center"/>
                    <w:rPr>
                      <w:b/>
                      <w:bCs/>
                      <w:i/>
                      <w:iCs/>
                    </w:rPr>
                  </w:pPr>
                  <w:r w:rsidRPr="008324B1">
                    <w:rPr>
                      <w:b/>
                      <w:bCs/>
                      <w:i/>
                      <w:iCs/>
                    </w:rPr>
                    <w:t>UKREP</w:t>
                  </w:r>
                </w:p>
              </w:tc>
              <w:tc>
                <w:tcPr>
                  <w:tcW w:w="3457" w:type="dxa"/>
                  <w:shd w:val="clear" w:color="auto" w:fill="E7E6E6" w:themeFill="background2"/>
                </w:tcPr>
                <w:p w14:paraId="375F293F" w14:textId="6BC1B91D" w:rsidR="008324B1" w:rsidRPr="008324B1" w:rsidRDefault="008324B1" w:rsidP="008324B1">
                  <w:pPr>
                    <w:pStyle w:val="Brezrazmikov"/>
                    <w:jc w:val="center"/>
                    <w:rPr>
                      <w:b/>
                      <w:bCs/>
                      <w:i/>
                      <w:iCs/>
                    </w:rPr>
                  </w:pPr>
                  <w:r w:rsidRPr="008324B1">
                    <w:rPr>
                      <w:b/>
                      <w:bCs/>
                      <w:i/>
                      <w:iCs/>
                    </w:rPr>
                    <w:t>GOSPODINJSTVA</w:t>
                  </w:r>
                </w:p>
              </w:tc>
              <w:tc>
                <w:tcPr>
                  <w:tcW w:w="3457" w:type="dxa"/>
                  <w:shd w:val="clear" w:color="auto" w:fill="E7E6E6" w:themeFill="background2"/>
                </w:tcPr>
                <w:p w14:paraId="58BE2C81" w14:textId="0D8CDBB8" w:rsidR="008324B1" w:rsidRPr="008324B1" w:rsidRDefault="008324B1" w:rsidP="008324B1">
                  <w:pPr>
                    <w:pStyle w:val="Brezrazmikov"/>
                    <w:jc w:val="center"/>
                    <w:rPr>
                      <w:b/>
                      <w:bCs/>
                      <w:i/>
                      <w:iCs/>
                    </w:rPr>
                  </w:pPr>
                  <w:r w:rsidRPr="008324B1">
                    <w:rPr>
                      <w:b/>
                      <w:bCs/>
                      <w:i/>
                      <w:iCs/>
                    </w:rPr>
                    <w:t>GOSPODARSTVO</w:t>
                  </w:r>
                </w:p>
              </w:tc>
            </w:tr>
            <w:tr w:rsidR="008324B1" w14:paraId="31B97F39" w14:textId="77777777" w:rsidTr="008324B1">
              <w:tc>
                <w:tcPr>
                  <w:tcW w:w="3457" w:type="dxa"/>
                </w:tcPr>
                <w:p w14:paraId="24568E9E" w14:textId="64134B4E" w:rsidR="008324B1" w:rsidRDefault="008324B1" w:rsidP="008324B1">
                  <w:pPr>
                    <w:pStyle w:val="Brezrazmikov"/>
                    <w:jc w:val="both"/>
                  </w:pPr>
                  <w:r>
                    <w:t>Višji</w:t>
                  </w:r>
                  <w:r w:rsidRPr="008324B1">
                    <w:t xml:space="preserve"> znesek, do katerega se povračilo stroškov za prehrano med delom ne všteva v davčno osnovo</w:t>
                  </w:r>
                </w:p>
              </w:tc>
              <w:tc>
                <w:tcPr>
                  <w:tcW w:w="3457" w:type="dxa"/>
                </w:tcPr>
                <w:p w14:paraId="2C1F1E02" w14:textId="77777777" w:rsidR="008324B1" w:rsidRDefault="008324B1" w:rsidP="008324B1">
                  <w:pPr>
                    <w:pStyle w:val="Brezrazmikov"/>
                    <w:jc w:val="both"/>
                  </w:pPr>
                  <w:r w:rsidRPr="008324B1">
                    <w:t>Za vsak dan, ko je delojemalec na delu prisoten štiri ure ali več, </w:t>
                  </w:r>
                  <w:r>
                    <w:t xml:space="preserve">je </w:t>
                  </w:r>
                  <w:r w:rsidRPr="007A31FF">
                    <w:t>neobdavčen znesek zvišan s 6,12 € na 7,96 €.</w:t>
                  </w:r>
                  <w:r w:rsidRPr="008324B1">
                    <w:t xml:space="preserve"> Če je delojemalec na delu prisoten deset ur ali več, se neobdavčen znesek zviš</w:t>
                  </w:r>
                  <w:r>
                    <w:t>a</w:t>
                  </w:r>
                  <w:r w:rsidRPr="008324B1">
                    <w:t xml:space="preserve"> z 0,76 </w:t>
                  </w:r>
                  <w:r>
                    <w:t>€</w:t>
                  </w:r>
                  <w:r w:rsidRPr="008324B1">
                    <w:t xml:space="preserve"> na 0,99 </w:t>
                  </w:r>
                  <w:r>
                    <w:t>€</w:t>
                  </w:r>
                  <w:r w:rsidRPr="008324B1">
                    <w:t xml:space="preserve"> za vsako dopolnjeno uro </w:t>
                  </w:r>
                  <w:r w:rsidRPr="008324B1">
                    <w:lastRenderedPageBreak/>
                    <w:t>prisotnosti na delu po osmih urah prisotnosti na delu.</w:t>
                  </w:r>
                </w:p>
                <w:p w14:paraId="5E509451" w14:textId="77777777" w:rsidR="008324B1" w:rsidRDefault="008324B1" w:rsidP="008324B1">
                  <w:pPr>
                    <w:pStyle w:val="Brezrazmikov"/>
                    <w:jc w:val="both"/>
                  </w:pPr>
                </w:p>
                <w:p w14:paraId="27AA0184" w14:textId="7C12D0A0" w:rsidR="008324B1" w:rsidRDefault="008324B1" w:rsidP="008324B1">
                  <w:pPr>
                    <w:pStyle w:val="Brezrazmikov"/>
                    <w:jc w:val="both"/>
                  </w:pPr>
                  <w:r>
                    <w:t>Uporablja za povračilo stroškov za september 2022.</w:t>
                  </w:r>
                </w:p>
              </w:tc>
              <w:tc>
                <w:tcPr>
                  <w:tcW w:w="3457" w:type="dxa"/>
                </w:tcPr>
                <w:p w14:paraId="4008EEAF" w14:textId="78DA90C5" w:rsidR="008324B1" w:rsidRDefault="008324B1" w:rsidP="008324B1">
                  <w:pPr>
                    <w:pStyle w:val="Brezrazmikov"/>
                    <w:jc w:val="both"/>
                  </w:pPr>
                  <w:r>
                    <w:lastRenderedPageBreak/>
                    <w:t>/</w:t>
                  </w:r>
                </w:p>
              </w:tc>
            </w:tr>
          </w:tbl>
          <w:p w14:paraId="21B4852F" w14:textId="77777777" w:rsidR="008324B1" w:rsidRPr="008324B1" w:rsidRDefault="008324B1" w:rsidP="008324B1">
            <w:pPr>
              <w:pStyle w:val="Brezrazmikov"/>
              <w:jc w:val="both"/>
            </w:pPr>
          </w:p>
        </w:tc>
      </w:tr>
      <w:tr w:rsidR="008324B1" w14:paraId="60ECA021" w14:textId="77777777" w:rsidTr="00E358B0">
        <w:tc>
          <w:tcPr>
            <w:tcW w:w="3397" w:type="dxa"/>
          </w:tcPr>
          <w:p w14:paraId="6BABCA83" w14:textId="77777777" w:rsidR="008324B1" w:rsidRDefault="008324B1" w:rsidP="00E358B0">
            <w:pPr>
              <w:pStyle w:val="Brezrazmikov"/>
              <w:jc w:val="both"/>
              <w:rPr>
                <w:b/>
                <w:bCs/>
              </w:rPr>
            </w:pPr>
          </w:p>
        </w:tc>
        <w:tc>
          <w:tcPr>
            <w:tcW w:w="10597" w:type="dxa"/>
          </w:tcPr>
          <w:p w14:paraId="3884FD0D" w14:textId="77777777" w:rsidR="008324B1" w:rsidRPr="008324B1" w:rsidRDefault="008324B1" w:rsidP="008324B1">
            <w:pPr>
              <w:pStyle w:val="Brezrazmikov"/>
              <w:jc w:val="center"/>
              <w:rPr>
                <w:b/>
                <w:bCs/>
                <w:i/>
                <w:iCs/>
              </w:rPr>
            </w:pPr>
          </w:p>
        </w:tc>
      </w:tr>
      <w:tr w:rsidR="008324B1" w14:paraId="71BD75F7" w14:textId="77777777" w:rsidTr="00E358B0">
        <w:tc>
          <w:tcPr>
            <w:tcW w:w="3397" w:type="dxa"/>
          </w:tcPr>
          <w:p w14:paraId="5881D282" w14:textId="77777777" w:rsidR="008324B1" w:rsidRDefault="00AA3AD5" w:rsidP="00E358B0">
            <w:pPr>
              <w:pStyle w:val="Brezrazmikov"/>
              <w:jc w:val="both"/>
              <w:rPr>
                <w:b/>
                <w:bCs/>
              </w:rPr>
            </w:pPr>
            <w:hyperlink r:id="rId18" w:history="1">
              <w:r w:rsidR="003C76EA" w:rsidRPr="003C76EA">
                <w:rPr>
                  <w:rStyle w:val="Hiperpovezava"/>
                  <w:b/>
                  <w:bCs/>
                </w:rPr>
                <w:t>Uredba o določitvi cen električne energije</w:t>
              </w:r>
            </w:hyperlink>
          </w:p>
          <w:p w14:paraId="114F0E78" w14:textId="77777777" w:rsidR="009216B4" w:rsidRDefault="009216B4" w:rsidP="00E358B0">
            <w:pPr>
              <w:pStyle w:val="Brezrazmikov"/>
              <w:jc w:val="both"/>
            </w:pPr>
          </w:p>
          <w:p w14:paraId="32B2562C" w14:textId="77777777" w:rsidR="009216B4" w:rsidRDefault="009216B4" w:rsidP="00E358B0">
            <w:pPr>
              <w:pStyle w:val="Brezrazmikov"/>
              <w:jc w:val="both"/>
            </w:pPr>
            <w:r>
              <w:t>Velja do 31. avgusta 2023.</w:t>
            </w:r>
          </w:p>
          <w:p w14:paraId="76327B90" w14:textId="77777777" w:rsidR="00AF5BB9" w:rsidRDefault="00AF5BB9" w:rsidP="00E358B0">
            <w:pPr>
              <w:pStyle w:val="Brezrazmikov"/>
              <w:jc w:val="both"/>
            </w:pPr>
          </w:p>
          <w:p w14:paraId="2AE238C2" w14:textId="77777777" w:rsidR="007251E2" w:rsidRPr="00E13C0F" w:rsidRDefault="00AF5BB9" w:rsidP="00E358B0">
            <w:pPr>
              <w:pStyle w:val="Brezrazmikov"/>
              <w:jc w:val="both"/>
              <w:rPr>
                <w:color w:val="FF0000"/>
              </w:rPr>
            </w:pPr>
            <w:r w:rsidRPr="00E13C0F">
              <w:rPr>
                <w:color w:val="FF0000"/>
              </w:rPr>
              <w:t>Za povprečnega gospodinjskega odjemalca bo na letni ravni predstavljalo okoli 15% do 30% (od 110 do 334 evrov) prihranka oziroma do 56% (do 1000 evrov) prihranka na letnem nivoju za tiste, ki so pri najdražjem dobavitelju, upoštevajoč objavljene tržne cene dobaviteljev, ki naj bi veljale s 1. septembrom 2022 brez uveljavitve ukrepa regulacije cene. </w:t>
            </w:r>
          </w:p>
          <w:p w14:paraId="5F13AD7F" w14:textId="73B3EB14" w:rsidR="00AF5BB9" w:rsidRPr="009216B4" w:rsidRDefault="00AF5BB9" w:rsidP="00E358B0">
            <w:pPr>
              <w:pStyle w:val="Brezrazmikov"/>
              <w:jc w:val="both"/>
            </w:pPr>
            <w:r w:rsidRPr="00E13C0F">
              <w:rPr>
                <w:color w:val="FF0000"/>
              </w:rPr>
              <w:t xml:space="preserve">Za povprečnega malega poslovnega odjemalca bo regulacija ob upoštevanju trenutnih cen na letni ravni predstavljala od 2 do 37 % prihranka (od 50 do 1760 evrov). Za večstanovanjske stavbe, ki so pri največjem dobavitelju, </w:t>
            </w:r>
            <w:r w:rsidR="007251E2" w:rsidRPr="00E13C0F">
              <w:rPr>
                <w:color w:val="FF0000"/>
              </w:rPr>
              <w:t xml:space="preserve">se </w:t>
            </w:r>
            <w:r w:rsidRPr="00E13C0F">
              <w:rPr>
                <w:color w:val="FF0000"/>
              </w:rPr>
              <w:t xml:space="preserve">ocenjuje, da bodo nova določila predstavljala okoli 36% prihranka na letnem nivoju glede na objavljene tržne </w:t>
            </w:r>
            <w:r w:rsidRPr="00E13C0F">
              <w:rPr>
                <w:color w:val="FF0000"/>
              </w:rPr>
              <w:lastRenderedPageBreak/>
              <w:t>cene, kar predstavlja okoli 400 evrov prihranka.</w:t>
            </w:r>
          </w:p>
        </w:tc>
        <w:tc>
          <w:tcPr>
            <w:tcW w:w="10597" w:type="dxa"/>
          </w:tcPr>
          <w:tbl>
            <w:tblPr>
              <w:tblStyle w:val="Tabelamrea"/>
              <w:tblW w:w="0" w:type="auto"/>
              <w:tblLook w:val="04A0" w:firstRow="1" w:lastRow="0" w:firstColumn="1" w:lastColumn="0" w:noHBand="0" w:noVBand="1"/>
            </w:tblPr>
            <w:tblGrid>
              <w:gridCol w:w="3457"/>
              <w:gridCol w:w="3457"/>
              <w:gridCol w:w="3457"/>
            </w:tblGrid>
            <w:tr w:rsidR="003C76EA" w14:paraId="46E1A70A" w14:textId="77777777" w:rsidTr="00D625FC">
              <w:tc>
                <w:tcPr>
                  <w:tcW w:w="3457" w:type="dxa"/>
                  <w:shd w:val="clear" w:color="auto" w:fill="E7E6E6" w:themeFill="background2"/>
                </w:tcPr>
                <w:p w14:paraId="0AF5B15F" w14:textId="3BA817FF" w:rsidR="003C76EA" w:rsidRPr="00D625FC" w:rsidRDefault="00D625FC" w:rsidP="00D625FC">
                  <w:pPr>
                    <w:pStyle w:val="Brezrazmikov"/>
                    <w:jc w:val="center"/>
                    <w:rPr>
                      <w:b/>
                      <w:bCs/>
                      <w:i/>
                      <w:iCs/>
                    </w:rPr>
                  </w:pPr>
                  <w:r w:rsidRPr="00D625FC">
                    <w:rPr>
                      <w:b/>
                      <w:bCs/>
                      <w:i/>
                      <w:iCs/>
                    </w:rPr>
                    <w:lastRenderedPageBreak/>
                    <w:t>UKREP</w:t>
                  </w:r>
                </w:p>
              </w:tc>
              <w:tc>
                <w:tcPr>
                  <w:tcW w:w="3457" w:type="dxa"/>
                  <w:shd w:val="clear" w:color="auto" w:fill="E7E6E6" w:themeFill="background2"/>
                </w:tcPr>
                <w:p w14:paraId="0EA244DC" w14:textId="25A81573" w:rsidR="003C76EA" w:rsidRPr="00D625FC" w:rsidRDefault="00D625FC" w:rsidP="00D625FC">
                  <w:pPr>
                    <w:pStyle w:val="Brezrazmikov"/>
                    <w:jc w:val="center"/>
                    <w:rPr>
                      <w:b/>
                      <w:bCs/>
                      <w:i/>
                      <w:iCs/>
                    </w:rPr>
                  </w:pPr>
                  <w:r w:rsidRPr="00D625FC">
                    <w:rPr>
                      <w:b/>
                      <w:bCs/>
                      <w:i/>
                      <w:iCs/>
                    </w:rPr>
                    <w:t>GOSPODINJSTVA</w:t>
                  </w:r>
                </w:p>
              </w:tc>
              <w:tc>
                <w:tcPr>
                  <w:tcW w:w="3457" w:type="dxa"/>
                  <w:shd w:val="clear" w:color="auto" w:fill="E7E6E6" w:themeFill="background2"/>
                </w:tcPr>
                <w:p w14:paraId="02385A02" w14:textId="63EB581D" w:rsidR="003C76EA" w:rsidRPr="00D625FC" w:rsidRDefault="00D625FC" w:rsidP="00D625FC">
                  <w:pPr>
                    <w:pStyle w:val="Brezrazmikov"/>
                    <w:jc w:val="center"/>
                    <w:rPr>
                      <w:b/>
                      <w:bCs/>
                      <w:i/>
                      <w:iCs/>
                    </w:rPr>
                  </w:pPr>
                  <w:r w:rsidRPr="00D625FC">
                    <w:rPr>
                      <w:b/>
                      <w:bCs/>
                      <w:i/>
                      <w:iCs/>
                    </w:rPr>
                    <w:t>GOSPODARSTVO</w:t>
                  </w:r>
                </w:p>
              </w:tc>
            </w:tr>
            <w:tr w:rsidR="003C76EA" w14:paraId="709D599A" w14:textId="77777777" w:rsidTr="003C76EA">
              <w:tc>
                <w:tcPr>
                  <w:tcW w:w="3457" w:type="dxa"/>
                </w:tcPr>
                <w:p w14:paraId="59D1F9D5" w14:textId="50F30FAE" w:rsidR="003C76EA" w:rsidRDefault="000C2D06" w:rsidP="003C76EA">
                  <w:pPr>
                    <w:pStyle w:val="Brezrazmikov"/>
                    <w:jc w:val="both"/>
                  </w:pPr>
                  <w:r>
                    <w:t>N</w:t>
                  </w:r>
                  <w:r w:rsidRPr="000C2D06">
                    <w:t>ajvišj</w:t>
                  </w:r>
                  <w:r>
                    <w:t>a</w:t>
                  </w:r>
                  <w:r w:rsidRPr="000C2D06">
                    <w:t xml:space="preserve"> dovoljen</w:t>
                  </w:r>
                  <w:r>
                    <w:t>a</w:t>
                  </w:r>
                  <w:r w:rsidRPr="000C2D06">
                    <w:t xml:space="preserve"> drobnoprodajn</w:t>
                  </w:r>
                  <w:r>
                    <w:t>a</w:t>
                  </w:r>
                  <w:r w:rsidRPr="000C2D06">
                    <w:t xml:space="preserve"> cen</w:t>
                  </w:r>
                  <w:r>
                    <w:t>a</w:t>
                  </w:r>
                  <w:r w:rsidRPr="000C2D06">
                    <w:t xml:space="preserve"> električne energije</w:t>
                  </w:r>
                </w:p>
              </w:tc>
              <w:tc>
                <w:tcPr>
                  <w:tcW w:w="3457" w:type="dxa"/>
                </w:tcPr>
                <w:p w14:paraId="2B9A0450" w14:textId="0C6D9DBD" w:rsidR="003C76EA" w:rsidRDefault="00FA79CC" w:rsidP="003C76EA">
                  <w:pPr>
                    <w:pStyle w:val="Brezrazmikov"/>
                    <w:jc w:val="both"/>
                  </w:pPr>
                  <w:r>
                    <w:t>G</w:t>
                  </w:r>
                  <w:r w:rsidR="00147C22">
                    <w:t>ospodinjsk</w:t>
                  </w:r>
                  <w:r>
                    <w:t>i</w:t>
                  </w:r>
                  <w:r w:rsidR="00147C22">
                    <w:t xml:space="preserve"> odjemalc</w:t>
                  </w:r>
                  <w:r>
                    <w:t>i</w:t>
                  </w:r>
                  <w:r w:rsidR="00147C22">
                    <w:t xml:space="preserve">, </w:t>
                  </w:r>
                  <w:r>
                    <w:t>skupni prostori večstanovanjskih stavb in mešane večstanovanjske stavbe, imajo najvišjo</w:t>
                  </w:r>
                  <w:r w:rsidR="009E249A">
                    <w:t xml:space="preserve"> dovoljeno drobnoprodajno ceno:</w:t>
                  </w:r>
                </w:p>
                <w:p w14:paraId="1BE8921D" w14:textId="431C4252" w:rsidR="009E249A" w:rsidRDefault="009E249A" w:rsidP="009E249A">
                  <w:pPr>
                    <w:pStyle w:val="Brezrazmikov"/>
                    <w:numPr>
                      <w:ilvl w:val="0"/>
                      <w:numId w:val="3"/>
                    </w:numPr>
                    <w:jc w:val="both"/>
                  </w:pPr>
                  <w:r>
                    <w:t>za višjo dnevno tarifno postavko 0,11800 EUR/kWh;</w:t>
                  </w:r>
                </w:p>
                <w:p w14:paraId="05EF25CC" w14:textId="78A20F55" w:rsidR="009E249A" w:rsidRDefault="009E249A" w:rsidP="009E249A">
                  <w:pPr>
                    <w:pStyle w:val="Brezrazmikov"/>
                    <w:numPr>
                      <w:ilvl w:val="0"/>
                      <w:numId w:val="3"/>
                    </w:numPr>
                    <w:jc w:val="both"/>
                  </w:pPr>
                  <w:r>
                    <w:t>za nižjo dnevno tarifno postavko 0,08200 EUR/kWh;</w:t>
                  </w:r>
                </w:p>
                <w:p w14:paraId="644918CD" w14:textId="7C332656" w:rsidR="009E249A" w:rsidRDefault="009E249A" w:rsidP="009E249A">
                  <w:pPr>
                    <w:pStyle w:val="Brezrazmikov"/>
                    <w:numPr>
                      <w:ilvl w:val="0"/>
                      <w:numId w:val="3"/>
                    </w:numPr>
                    <w:jc w:val="both"/>
                  </w:pPr>
                  <w:r>
                    <w:t>za enotno dnevno tarifno postavko 0,09800 EUR/kWh.</w:t>
                  </w:r>
                </w:p>
                <w:p w14:paraId="676A50FE" w14:textId="5265EF4B" w:rsidR="00FA79CC" w:rsidRDefault="00FA79CC" w:rsidP="003C76EA">
                  <w:pPr>
                    <w:pStyle w:val="Brezrazmikov"/>
                    <w:jc w:val="both"/>
                  </w:pPr>
                </w:p>
              </w:tc>
              <w:tc>
                <w:tcPr>
                  <w:tcW w:w="3457" w:type="dxa"/>
                </w:tcPr>
                <w:p w14:paraId="7F146FAF" w14:textId="77777777" w:rsidR="003C76EA" w:rsidRDefault="00C85C69" w:rsidP="003C76EA">
                  <w:pPr>
                    <w:pStyle w:val="Brezrazmikov"/>
                    <w:jc w:val="both"/>
                  </w:pPr>
                  <w:r>
                    <w:t>O</w:t>
                  </w:r>
                  <w:r w:rsidRPr="00C85C69">
                    <w:t>djemalc</w:t>
                  </w:r>
                  <w:r>
                    <w:t>i</w:t>
                  </w:r>
                  <w:r w:rsidRPr="00C85C69">
                    <w:t xml:space="preserve"> s priključno močjo enako ali manjšo od 43 kW, ki niso gospodinjski odjemalci znaša</w:t>
                  </w:r>
                  <w:r>
                    <w:t>, imajo najvišjo dovoljeno drobnoprodajno ceno:</w:t>
                  </w:r>
                </w:p>
                <w:p w14:paraId="586FED72" w14:textId="77777777" w:rsidR="00385760" w:rsidRDefault="00385760" w:rsidP="00385760">
                  <w:pPr>
                    <w:pStyle w:val="Brezrazmikov"/>
                    <w:numPr>
                      <w:ilvl w:val="0"/>
                      <w:numId w:val="3"/>
                    </w:numPr>
                    <w:jc w:val="both"/>
                  </w:pPr>
                  <w:r>
                    <w:t xml:space="preserve">  za višjo dnevno tarifno postavko 0,13800 EUR/kWh,</w:t>
                  </w:r>
                </w:p>
                <w:p w14:paraId="4B74985F" w14:textId="22646396" w:rsidR="00385760" w:rsidRDefault="00385760" w:rsidP="00385760">
                  <w:pPr>
                    <w:pStyle w:val="Brezrazmikov"/>
                    <w:numPr>
                      <w:ilvl w:val="0"/>
                      <w:numId w:val="3"/>
                    </w:numPr>
                    <w:jc w:val="both"/>
                  </w:pPr>
                  <w:r>
                    <w:t>za nižjo dnevno tarifno postavko 0,09900 EUR/kWh,</w:t>
                  </w:r>
                </w:p>
                <w:p w14:paraId="3BD01753" w14:textId="77777777" w:rsidR="00C85C69" w:rsidRDefault="00385760" w:rsidP="00385760">
                  <w:pPr>
                    <w:pStyle w:val="Brezrazmikov"/>
                    <w:numPr>
                      <w:ilvl w:val="0"/>
                      <w:numId w:val="3"/>
                    </w:numPr>
                    <w:jc w:val="both"/>
                  </w:pPr>
                  <w:r>
                    <w:t>za enotno dnevno tarifno postavko 0,12400 EUR/kWh.</w:t>
                  </w:r>
                </w:p>
                <w:p w14:paraId="762503F7" w14:textId="77777777" w:rsidR="00C80E88" w:rsidRDefault="00C80E88" w:rsidP="00C80E88">
                  <w:pPr>
                    <w:pStyle w:val="Brezrazmikov"/>
                    <w:jc w:val="both"/>
                  </w:pPr>
                </w:p>
                <w:p w14:paraId="74B220B3" w14:textId="190D14BC" w:rsidR="00C80E88" w:rsidRDefault="00C80E88" w:rsidP="00C80E88">
                  <w:pPr>
                    <w:pStyle w:val="Brezrazmikov"/>
                    <w:jc w:val="both"/>
                  </w:pPr>
                  <w:r w:rsidRPr="00C80E88">
                    <w:t>Mali poslovni odjemalci</w:t>
                  </w:r>
                  <w:r>
                    <w:t xml:space="preserve"> spadajo v ta ukrep</w:t>
                  </w:r>
                  <w:r w:rsidR="00A82005">
                    <w:t xml:space="preserve"> in pri tem </w:t>
                  </w:r>
                  <w:r w:rsidRPr="00C80E88">
                    <w:t>lahko</w:t>
                  </w:r>
                  <w:r w:rsidR="00A82005">
                    <w:t xml:space="preserve"> imajo</w:t>
                  </w:r>
                  <w:r w:rsidRPr="00C80E88">
                    <w:t xml:space="preserve"> več merilnih mest, a njihova skupna priključna moč vseh merilnih mest ne sme presegati 86 kW.</w:t>
                  </w:r>
                </w:p>
              </w:tc>
            </w:tr>
            <w:tr w:rsidR="003C76EA" w14:paraId="0DCF20C4" w14:textId="77777777" w:rsidTr="003C76EA">
              <w:tc>
                <w:tcPr>
                  <w:tcW w:w="3457" w:type="dxa"/>
                </w:tcPr>
                <w:p w14:paraId="5F835C69" w14:textId="77777777" w:rsidR="003C76EA" w:rsidRDefault="003C76EA" w:rsidP="003C76EA">
                  <w:pPr>
                    <w:pStyle w:val="Brezrazmikov"/>
                    <w:jc w:val="both"/>
                  </w:pPr>
                </w:p>
              </w:tc>
              <w:tc>
                <w:tcPr>
                  <w:tcW w:w="3457" w:type="dxa"/>
                </w:tcPr>
                <w:p w14:paraId="4D7CFE89" w14:textId="77777777" w:rsidR="003C76EA" w:rsidRDefault="003C76EA" w:rsidP="003C76EA">
                  <w:pPr>
                    <w:pStyle w:val="Brezrazmikov"/>
                    <w:jc w:val="both"/>
                  </w:pPr>
                </w:p>
              </w:tc>
              <w:tc>
                <w:tcPr>
                  <w:tcW w:w="3457" w:type="dxa"/>
                </w:tcPr>
                <w:p w14:paraId="4F3DB82B" w14:textId="77777777" w:rsidR="003C76EA" w:rsidRDefault="003C76EA" w:rsidP="003C76EA">
                  <w:pPr>
                    <w:pStyle w:val="Brezrazmikov"/>
                    <w:jc w:val="both"/>
                  </w:pPr>
                </w:p>
              </w:tc>
            </w:tr>
          </w:tbl>
          <w:p w14:paraId="10F3BD9A" w14:textId="77777777" w:rsidR="008324B1" w:rsidRPr="003C76EA" w:rsidRDefault="008324B1" w:rsidP="003C76EA">
            <w:pPr>
              <w:pStyle w:val="Brezrazmikov"/>
              <w:jc w:val="both"/>
            </w:pPr>
          </w:p>
        </w:tc>
      </w:tr>
      <w:tr w:rsidR="004262E5" w14:paraId="18EEEA5E" w14:textId="77777777" w:rsidTr="00E358B0">
        <w:tc>
          <w:tcPr>
            <w:tcW w:w="3397" w:type="dxa"/>
          </w:tcPr>
          <w:p w14:paraId="3380878F" w14:textId="77777777" w:rsidR="004262E5" w:rsidRDefault="004262E5" w:rsidP="00E358B0">
            <w:pPr>
              <w:pStyle w:val="Brezrazmikov"/>
              <w:jc w:val="both"/>
              <w:rPr>
                <w:b/>
                <w:bCs/>
              </w:rPr>
            </w:pPr>
          </w:p>
        </w:tc>
        <w:tc>
          <w:tcPr>
            <w:tcW w:w="10597" w:type="dxa"/>
          </w:tcPr>
          <w:p w14:paraId="64DD4D64" w14:textId="77777777" w:rsidR="004262E5" w:rsidRPr="00D625FC" w:rsidRDefault="004262E5" w:rsidP="00D625FC">
            <w:pPr>
              <w:pStyle w:val="Brezrazmikov"/>
              <w:jc w:val="center"/>
              <w:rPr>
                <w:b/>
                <w:bCs/>
                <w:i/>
                <w:iCs/>
              </w:rPr>
            </w:pPr>
          </w:p>
        </w:tc>
      </w:tr>
      <w:tr w:rsidR="004262E5" w14:paraId="35D312B9" w14:textId="77777777" w:rsidTr="00E358B0">
        <w:tc>
          <w:tcPr>
            <w:tcW w:w="3397" w:type="dxa"/>
          </w:tcPr>
          <w:p w14:paraId="5657990B" w14:textId="085CEBD7" w:rsidR="004262E5" w:rsidRDefault="00AA3AD5" w:rsidP="00E358B0">
            <w:pPr>
              <w:pStyle w:val="Brezrazmikov"/>
              <w:jc w:val="both"/>
              <w:rPr>
                <w:b/>
                <w:bCs/>
              </w:rPr>
            </w:pPr>
            <w:hyperlink r:id="rId19" w:history="1">
              <w:r w:rsidR="004262E5" w:rsidRPr="004262E5">
                <w:rPr>
                  <w:rStyle w:val="Hiperpovezava"/>
                  <w:b/>
                  <w:bCs/>
                </w:rPr>
                <w:t>Uredba o določitvi zneska trošarine za energente in električno energijo</w:t>
              </w:r>
            </w:hyperlink>
          </w:p>
        </w:tc>
        <w:tc>
          <w:tcPr>
            <w:tcW w:w="10597" w:type="dxa"/>
          </w:tcPr>
          <w:p w14:paraId="799720D2" w14:textId="2AF515DA" w:rsidR="004262E5" w:rsidRPr="00523BC1" w:rsidRDefault="00123816" w:rsidP="00523BC1">
            <w:pPr>
              <w:pStyle w:val="Brezrazmikov"/>
              <w:jc w:val="both"/>
            </w:pPr>
            <w:r>
              <w:t>Nižja t</w:t>
            </w:r>
            <w:r w:rsidR="008B7C59" w:rsidRPr="008B7C59">
              <w:t>rošarina za energente in električno energijo</w:t>
            </w:r>
            <w:r>
              <w:t xml:space="preserve"> in nižja davčna stopnja DDV (9,5 %).</w:t>
            </w:r>
          </w:p>
        </w:tc>
      </w:tr>
      <w:tr w:rsidR="00704D34" w14:paraId="1FF95B61" w14:textId="77777777" w:rsidTr="00E358B0">
        <w:tc>
          <w:tcPr>
            <w:tcW w:w="3397" w:type="dxa"/>
          </w:tcPr>
          <w:p w14:paraId="5B8A47EE" w14:textId="77777777" w:rsidR="00704D34" w:rsidRDefault="00704D34" w:rsidP="00E358B0">
            <w:pPr>
              <w:pStyle w:val="Brezrazmikov"/>
              <w:jc w:val="both"/>
              <w:rPr>
                <w:b/>
                <w:bCs/>
              </w:rPr>
            </w:pPr>
          </w:p>
        </w:tc>
        <w:tc>
          <w:tcPr>
            <w:tcW w:w="10597" w:type="dxa"/>
          </w:tcPr>
          <w:p w14:paraId="62F65A76" w14:textId="77777777" w:rsidR="00704D34" w:rsidRDefault="00704D34" w:rsidP="00523BC1">
            <w:pPr>
              <w:pStyle w:val="Brezrazmikov"/>
              <w:jc w:val="both"/>
            </w:pPr>
          </w:p>
        </w:tc>
      </w:tr>
      <w:tr w:rsidR="00704D34" w14:paraId="28642DC8" w14:textId="77777777" w:rsidTr="00E358B0">
        <w:tc>
          <w:tcPr>
            <w:tcW w:w="3397" w:type="dxa"/>
          </w:tcPr>
          <w:p w14:paraId="2910618B" w14:textId="76E6FE63" w:rsidR="00704D34" w:rsidRDefault="00AA3AD5" w:rsidP="00E358B0">
            <w:pPr>
              <w:pStyle w:val="Brezrazmikov"/>
              <w:jc w:val="both"/>
              <w:rPr>
                <w:b/>
                <w:bCs/>
              </w:rPr>
            </w:pPr>
            <w:hyperlink r:id="rId20" w:history="1">
              <w:r w:rsidR="00704D34" w:rsidRPr="0081517B">
                <w:rPr>
                  <w:rStyle w:val="Hiperpovezava"/>
                  <w:b/>
                  <w:bCs/>
                </w:rPr>
                <w:t>Krizni likvidnostni krediti</w:t>
              </w:r>
              <w:r w:rsidR="00DB6275" w:rsidRPr="0081517B">
                <w:rPr>
                  <w:rStyle w:val="Hiperpovezava"/>
                  <w:b/>
                  <w:bCs/>
                </w:rPr>
                <w:t xml:space="preserve"> Slovenskega podjetniškega sklada</w:t>
              </w:r>
            </w:hyperlink>
          </w:p>
        </w:tc>
        <w:tc>
          <w:tcPr>
            <w:tcW w:w="10597" w:type="dxa"/>
          </w:tcPr>
          <w:tbl>
            <w:tblPr>
              <w:tblStyle w:val="Tabelamrea"/>
              <w:tblW w:w="0" w:type="auto"/>
              <w:tblLook w:val="04A0" w:firstRow="1" w:lastRow="0" w:firstColumn="1" w:lastColumn="0" w:noHBand="0" w:noVBand="1"/>
            </w:tblPr>
            <w:tblGrid>
              <w:gridCol w:w="3457"/>
              <w:gridCol w:w="3457"/>
              <w:gridCol w:w="3457"/>
            </w:tblGrid>
            <w:tr w:rsidR="00FD4C88" w14:paraId="7CDE3EEB" w14:textId="77777777" w:rsidTr="00FD4C88">
              <w:tc>
                <w:tcPr>
                  <w:tcW w:w="3457" w:type="dxa"/>
                  <w:shd w:val="clear" w:color="auto" w:fill="E7E6E6" w:themeFill="background2"/>
                </w:tcPr>
                <w:p w14:paraId="1D618B45" w14:textId="785E4FE6" w:rsidR="00FD4C88" w:rsidRPr="00FD4C88" w:rsidRDefault="00FD4C88" w:rsidP="00FD4C88">
                  <w:pPr>
                    <w:pStyle w:val="Brezrazmikov"/>
                    <w:jc w:val="center"/>
                    <w:rPr>
                      <w:b/>
                      <w:bCs/>
                      <w:i/>
                      <w:iCs/>
                    </w:rPr>
                  </w:pPr>
                  <w:r w:rsidRPr="00FD4C88">
                    <w:rPr>
                      <w:b/>
                      <w:bCs/>
                      <w:i/>
                      <w:iCs/>
                    </w:rPr>
                    <w:t>UKREP</w:t>
                  </w:r>
                </w:p>
              </w:tc>
              <w:tc>
                <w:tcPr>
                  <w:tcW w:w="3457" w:type="dxa"/>
                  <w:shd w:val="clear" w:color="auto" w:fill="E7E6E6" w:themeFill="background2"/>
                </w:tcPr>
                <w:p w14:paraId="422893E2" w14:textId="30C39B37" w:rsidR="00FD4C88" w:rsidRPr="00FD4C88" w:rsidRDefault="00FD4C88" w:rsidP="00FD4C88">
                  <w:pPr>
                    <w:pStyle w:val="Brezrazmikov"/>
                    <w:jc w:val="center"/>
                    <w:rPr>
                      <w:b/>
                      <w:bCs/>
                      <w:i/>
                      <w:iCs/>
                    </w:rPr>
                  </w:pPr>
                  <w:r w:rsidRPr="00FD4C88">
                    <w:rPr>
                      <w:b/>
                      <w:bCs/>
                      <w:i/>
                      <w:iCs/>
                    </w:rPr>
                    <w:t>GOSPODINJSTVA</w:t>
                  </w:r>
                </w:p>
              </w:tc>
              <w:tc>
                <w:tcPr>
                  <w:tcW w:w="3457" w:type="dxa"/>
                  <w:shd w:val="clear" w:color="auto" w:fill="E7E6E6" w:themeFill="background2"/>
                </w:tcPr>
                <w:p w14:paraId="29BE1953" w14:textId="66716B19" w:rsidR="00FD4C88" w:rsidRPr="00FD4C88" w:rsidRDefault="00FD4C88" w:rsidP="00FD4C88">
                  <w:pPr>
                    <w:pStyle w:val="Brezrazmikov"/>
                    <w:jc w:val="center"/>
                    <w:rPr>
                      <w:b/>
                      <w:bCs/>
                      <w:i/>
                      <w:iCs/>
                    </w:rPr>
                  </w:pPr>
                  <w:r w:rsidRPr="00FD4C88">
                    <w:rPr>
                      <w:b/>
                      <w:bCs/>
                      <w:i/>
                      <w:iCs/>
                    </w:rPr>
                    <w:t>GOSPODARSTVO</w:t>
                  </w:r>
                </w:p>
              </w:tc>
            </w:tr>
            <w:tr w:rsidR="00FD4C88" w14:paraId="007FAFCB" w14:textId="77777777" w:rsidTr="00FD4C88">
              <w:tc>
                <w:tcPr>
                  <w:tcW w:w="3457" w:type="dxa"/>
                </w:tcPr>
                <w:p w14:paraId="7520BF4B" w14:textId="6E8F0C7B" w:rsidR="00FD4C88" w:rsidRPr="00337B3D" w:rsidRDefault="00337B3D" w:rsidP="00523BC1">
                  <w:pPr>
                    <w:pStyle w:val="Brezrazmikov"/>
                    <w:jc w:val="both"/>
                  </w:pPr>
                  <w:r w:rsidRPr="00337B3D">
                    <w:t xml:space="preserve">paket neposrednih krizno likvidnostnih kreditov v skupni višini 32 mio </w:t>
                  </w:r>
                  <w:r>
                    <w:t>€</w:t>
                  </w:r>
                </w:p>
              </w:tc>
              <w:tc>
                <w:tcPr>
                  <w:tcW w:w="3457" w:type="dxa"/>
                </w:tcPr>
                <w:p w14:paraId="04579F41" w14:textId="54DB3FDB" w:rsidR="00FD4C88" w:rsidRDefault="00FD4C88" w:rsidP="00523BC1">
                  <w:pPr>
                    <w:pStyle w:val="Brezrazmikov"/>
                    <w:jc w:val="both"/>
                  </w:pPr>
                  <w:r>
                    <w:t>/</w:t>
                  </w:r>
                </w:p>
              </w:tc>
              <w:tc>
                <w:tcPr>
                  <w:tcW w:w="3457" w:type="dxa"/>
                </w:tcPr>
                <w:p w14:paraId="30852F98" w14:textId="73545D3B" w:rsidR="00FD4C88" w:rsidRDefault="00E90A26" w:rsidP="00523BC1">
                  <w:pPr>
                    <w:pStyle w:val="Brezrazmikov"/>
                    <w:jc w:val="both"/>
                  </w:pPr>
                  <w:r>
                    <w:t>M</w:t>
                  </w:r>
                  <w:r w:rsidRPr="00E90A26">
                    <w:t>ikro, mala in srednje velika podjetja</w:t>
                  </w:r>
                  <w:r>
                    <w:t xml:space="preserve"> bodo</w:t>
                  </w:r>
                  <w:r w:rsidRPr="00E90A26">
                    <w:t xml:space="preserve"> lahko pridobila financiranje v</w:t>
                  </w:r>
                  <w:r w:rsidRPr="00E90A26">
                    <w:rPr>
                      <w:b/>
                      <w:bCs/>
                    </w:rPr>
                    <w:t> </w:t>
                  </w:r>
                  <w:r w:rsidRPr="00E90A26">
                    <w:t>višini do 100.000 EUR/podjetje. Krediti so namenjeni podjetjem, ki so utrpela gospodarsko škodo zaradi COVID 19 in za obvladovanje kriznih razmer na področju oskrbe z energijo zaradi energetske krize.</w:t>
                  </w:r>
                </w:p>
              </w:tc>
            </w:tr>
          </w:tbl>
          <w:p w14:paraId="747ADC59" w14:textId="77777777" w:rsidR="00704D34" w:rsidRDefault="00704D34" w:rsidP="00523BC1">
            <w:pPr>
              <w:pStyle w:val="Brezrazmikov"/>
              <w:jc w:val="both"/>
            </w:pPr>
          </w:p>
        </w:tc>
      </w:tr>
    </w:tbl>
    <w:p w14:paraId="45E2FFE6" w14:textId="77777777" w:rsidR="00E358B0" w:rsidRPr="00E358B0" w:rsidRDefault="00E358B0" w:rsidP="00E358B0">
      <w:pPr>
        <w:pStyle w:val="Brezrazmikov"/>
        <w:jc w:val="both"/>
      </w:pPr>
    </w:p>
    <w:sectPr w:rsidR="00E358B0" w:rsidRPr="00E358B0" w:rsidSect="00E358B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6D73D" w14:textId="77777777" w:rsidR="009035A2" w:rsidRDefault="009035A2" w:rsidP="00192391">
      <w:pPr>
        <w:spacing w:after="0" w:line="240" w:lineRule="auto"/>
      </w:pPr>
      <w:r>
        <w:separator/>
      </w:r>
    </w:p>
  </w:endnote>
  <w:endnote w:type="continuationSeparator" w:id="0">
    <w:p w14:paraId="0C153691" w14:textId="77777777" w:rsidR="009035A2" w:rsidRDefault="009035A2" w:rsidP="00192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7E83E" w14:textId="77777777" w:rsidR="009035A2" w:rsidRDefault="009035A2" w:rsidP="00192391">
      <w:pPr>
        <w:spacing w:after="0" w:line="240" w:lineRule="auto"/>
      </w:pPr>
      <w:r>
        <w:separator/>
      </w:r>
    </w:p>
  </w:footnote>
  <w:footnote w:type="continuationSeparator" w:id="0">
    <w:p w14:paraId="15C5185C" w14:textId="77777777" w:rsidR="009035A2" w:rsidRDefault="009035A2" w:rsidP="00192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41FC"/>
    <w:multiLevelType w:val="hybridMultilevel"/>
    <w:tmpl w:val="08BA4A82"/>
    <w:lvl w:ilvl="0" w:tplc="D3BA42F0">
      <w:start w:val="1"/>
      <w:numFmt w:val="decimal"/>
      <w:lvlText w:val="%1."/>
      <w:lvlJc w:val="left"/>
      <w:pPr>
        <w:ind w:left="720" w:hanging="360"/>
      </w:pPr>
      <w:rPr>
        <w:b/>
        <w:bCs/>
      </w:rPr>
    </w:lvl>
    <w:lvl w:ilvl="1" w:tplc="3C8E5D86">
      <w:numFmt w:val="decimal"/>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15B72F79"/>
    <w:multiLevelType w:val="hybridMultilevel"/>
    <w:tmpl w:val="364EC3AC"/>
    <w:lvl w:ilvl="0" w:tplc="506A5BF4">
      <w:start w:val="1"/>
      <w:numFmt w:val="bullet"/>
      <w:lvlText w:val="-"/>
      <w:lvlJc w:val="left"/>
      <w:pPr>
        <w:ind w:left="720" w:hanging="360"/>
      </w:pPr>
      <w:rPr>
        <w:rFonts w:ascii="Verdana" w:eastAsia="Calibri" w:hAnsi="Verdan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3320166F"/>
    <w:multiLevelType w:val="hybridMultilevel"/>
    <w:tmpl w:val="6F4C148E"/>
    <w:lvl w:ilvl="0" w:tplc="3C8E5D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4B826FF0"/>
    <w:multiLevelType w:val="hybridMultilevel"/>
    <w:tmpl w:val="6024BCCA"/>
    <w:lvl w:ilvl="0" w:tplc="14D21F9C">
      <w:start w:val="12"/>
      <w:numFmt w:val="bullet"/>
      <w:lvlText w:val="-"/>
      <w:lvlJc w:val="left"/>
      <w:pPr>
        <w:ind w:left="1080" w:hanging="360"/>
      </w:pPr>
      <w:rPr>
        <w:rFonts w:ascii="Calibri" w:eastAsia="Calibri" w:hAnsi="Calibri" w:cs="Calibri" w:hint="default"/>
        <w:b w:val="0"/>
        <w:bCs/>
        <w:strike w:val="0"/>
        <w:dstrike w:val="0"/>
        <w:u w:val="none"/>
        <w:effect w:val="none"/>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A036796"/>
    <w:multiLevelType w:val="hybridMultilevel"/>
    <w:tmpl w:val="DE04D09C"/>
    <w:lvl w:ilvl="0" w:tplc="8F7AD98E">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B35498E"/>
    <w:multiLevelType w:val="hybridMultilevel"/>
    <w:tmpl w:val="015A3B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08B5F47"/>
    <w:multiLevelType w:val="hybridMultilevel"/>
    <w:tmpl w:val="DD3035BA"/>
    <w:lvl w:ilvl="0" w:tplc="36F483C8">
      <w:start w:val="3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7401313"/>
    <w:multiLevelType w:val="hybridMultilevel"/>
    <w:tmpl w:val="27960E0E"/>
    <w:lvl w:ilvl="0" w:tplc="36F483C8">
      <w:start w:val="3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BDF6197"/>
    <w:multiLevelType w:val="hybridMultilevel"/>
    <w:tmpl w:val="61D4791E"/>
    <w:lvl w:ilvl="0" w:tplc="3C8E5D8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19205240">
    <w:abstractNumId w:val="5"/>
  </w:num>
  <w:num w:numId="2" w16cid:durableId="1076630001">
    <w:abstractNumId w:val="8"/>
  </w:num>
  <w:num w:numId="3" w16cid:durableId="1553300232">
    <w:abstractNumId w:val="4"/>
  </w:num>
  <w:num w:numId="4" w16cid:durableId="1839078363">
    <w:abstractNumId w:val="3"/>
    <w:lvlOverride w:ilvl="0"/>
    <w:lvlOverride w:ilvl="1"/>
    <w:lvlOverride w:ilvl="2"/>
    <w:lvlOverride w:ilvl="3"/>
    <w:lvlOverride w:ilvl="4"/>
    <w:lvlOverride w:ilvl="5"/>
    <w:lvlOverride w:ilvl="6"/>
    <w:lvlOverride w:ilvl="7"/>
    <w:lvlOverride w:ilvl="8"/>
  </w:num>
  <w:num w:numId="5" w16cid:durableId="127259045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6675389">
    <w:abstractNumId w:val="1"/>
    <w:lvlOverride w:ilvl="0"/>
    <w:lvlOverride w:ilvl="1"/>
    <w:lvlOverride w:ilvl="2"/>
    <w:lvlOverride w:ilvl="3"/>
    <w:lvlOverride w:ilvl="4"/>
    <w:lvlOverride w:ilvl="5"/>
    <w:lvlOverride w:ilvl="6"/>
    <w:lvlOverride w:ilvl="7"/>
    <w:lvlOverride w:ilvl="8"/>
  </w:num>
  <w:num w:numId="7" w16cid:durableId="2079591700">
    <w:abstractNumId w:val="2"/>
    <w:lvlOverride w:ilvl="0"/>
    <w:lvlOverride w:ilvl="1"/>
    <w:lvlOverride w:ilvl="2"/>
    <w:lvlOverride w:ilvl="3"/>
    <w:lvlOverride w:ilvl="4"/>
    <w:lvlOverride w:ilvl="5"/>
    <w:lvlOverride w:ilvl="6"/>
    <w:lvlOverride w:ilvl="7"/>
    <w:lvlOverride w:ilvl="8"/>
  </w:num>
  <w:num w:numId="8" w16cid:durableId="183246676">
    <w:abstractNumId w:val="7"/>
  </w:num>
  <w:num w:numId="9" w16cid:durableId="1434862248">
    <w:abstractNumId w:val="1"/>
  </w:num>
  <w:num w:numId="10" w16cid:durableId="1798374496">
    <w:abstractNumId w:val="0"/>
  </w:num>
  <w:num w:numId="11" w16cid:durableId="6952793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8B0"/>
    <w:rsid w:val="00017644"/>
    <w:rsid w:val="0003180F"/>
    <w:rsid w:val="00057868"/>
    <w:rsid w:val="0007172C"/>
    <w:rsid w:val="00073FB9"/>
    <w:rsid w:val="000B690A"/>
    <w:rsid w:val="000C2D06"/>
    <w:rsid w:val="000E2EE0"/>
    <w:rsid w:val="00123816"/>
    <w:rsid w:val="00127FAF"/>
    <w:rsid w:val="00144DFA"/>
    <w:rsid w:val="00147C22"/>
    <w:rsid w:val="00151A3D"/>
    <w:rsid w:val="001655F6"/>
    <w:rsid w:val="00180710"/>
    <w:rsid w:val="00192391"/>
    <w:rsid w:val="00196C70"/>
    <w:rsid w:val="001C1449"/>
    <w:rsid w:val="001C55D0"/>
    <w:rsid w:val="002077F0"/>
    <w:rsid w:val="0022331C"/>
    <w:rsid w:val="002550AB"/>
    <w:rsid w:val="00270438"/>
    <w:rsid w:val="00294AD2"/>
    <w:rsid w:val="002B1E99"/>
    <w:rsid w:val="002C601C"/>
    <w:rsid w:val="002F0194"/>
    <w:rsid w:val="003070E6"/>
    <w:rsid w:val="003110ED"/>
    <w:rsid w:val="00324677"/>
    <w:rsid w:val="003352C5"/>
    <w:rsid w:val="00337B3D"/>
    <w:rsid w:val="0034666C"/>
    <w:rsid w:val="00352A66"/>
    <w:rsid w:val="00365174"/>
    <w:rsid w:val="00365D32"/>
    <w:rsid w:val="00385760"/>
    <w:rsid w:val="003C76EA"/>
    <w:rsid w:val="00413CF4"/>
    <w:rsid w:val="0041739C"/>
    <w:rsid w:val="0042263D"/>
    <w:rsid w:val="00423C7F"/>
    <w:rsid w:val="004262E5"/>
    <w:rsid w:val="004B2163"/>
    <w:rsid w:val="004B558D"/>
    <w:rsid w:val="004C7BF0"/>
    <w:rsid w:val="004E26DA"/>
    <w:rsid w:val="005104A9"/>
    <w:rsid w:val="00523BC1"/>
    <w:rsid w:val="00536715"/>
    <w:rsid w:val="005403ED"/>
    <w:rsid w:val="005427DE"/>
    <w:rsid w:val="0054287B"/>
    <w:rsid w:val="00542C6E"/>
    <w:rsid w:val="00547CCE"/>
    <w:rsid w:val="00575DA0"/>
    <w:rsid w:val="005D59DC"/>
    <w:rsid w:val="00616874"/>
    <w:rsid w:val="00622280"/>
    <w:rsid w:val="00624263"/>
    <w:rsid w:val="006247F1"/>
    <w:rsid w:val="006419B0"/>
    <w:rsid w:val="0065188A"/>
    <w:rsid w:val="00651BE8"/>
    <w:rsid w:val="006647DC"/>
    <w:rsid w:val="00671F68"/>
    <w:rsid w:val="00677E37"/>
    <w:rsid w:val="006845D2"/>
    <w:rsid w:val="006C1E1D"/>
    <w:rsid w:val="00704D34"/>
    <w:rsid w:val="007120D3"/>
    <w:rsid w:val="00715CC5"/>
    <w:rsid w:val="007251E2"/>
    <w:rsid w:val="00734007"/>
    <w:rsid w:val="00771BBC"/>
    <w:rsid w:val="007805E8"/>
    <w:rsid w:val="00783964"/>
    <w:rsid w:val="007A31FF"/>
    <w:rsid w:val="007C09F5"/>
    <w:rsid w:val="007C0C04"/>
    <w:rsid w:val="007E068C"/>
    <w:rsid w:val="008026C2"/>
    <w:rsid w:val="0081517B"/>
    <w:rsid w:val="008315D1"/>
    <w:rsid w:val="008324B1"/>
    <w:rsid w:val="00836098"/>
    <w:rsid w:val="00872794"/>
    <w:rsid w:val="008B7C59"/>
    <w:rsid w:val="008C0281"/>
    <w:rsid w:val="008C7B02"/>
    <w:rsid w:val="008F13F7"/>
    <w:rsid w:val="009035A2"/>
    <w:rsid w:val="009155E2"/>
    <w:rsid w:val="009216B4"/>
    <w:rsid w:val="009357EE"/>
    <w:rsid w:val="009729B6"/>
    <w:rsid w:val="009927BD"/>
    <w:rsid w:val="00992B9D"/>
    <w:rsid w:val="009958B7"/>
    <w:rsid w:val="009B4723"/>
    <w:rsid w:val="009C5779"/>
    <w:rsid w:val="009C7CCB"/>
    <w:rsid w:val="009D2232"/>
    <w:rsid w:val="009E249A"/>
    <w:rsid w:val="009E601A"/>
    <w:rsid w:val="009F2ABE"/>
    <w:rsid w:val="00A17A17"/>
    <w:rsid w:val="00A400CF"/>
    <w:rsid w:val="00A517EF"/>
    <w:rsid w:val="00A74462"/>
    <w:rsid w:val="00A82005"/>
    <w:rsid w:val="00AA3AD5"/>
    <w:rsid w:val="00AB3572"/>
    <w:rsid w:val="00AC14B8"/>
    <w:rsid w:val="00AD628D"/>
    <w:rsid w:val="00AF5BB9"/>
    <w:rsid w:val="00B00988"/>
    <w:rsid w:val="00B01E00"/>
    <w:rsid w:val="00B63B68"/>
    <w:rsid w:val="00B8450A"/>
    <w:rsid w:val="00B928C9"/>
    <w:rsid w:val="00BA5949"/>
    <w:rsid w:val="00BC654A"/>
    <w:rsid w:val="00BE3D6B"/>
    <w:rsid w:val="00BF0B7C"/>
    <w:rsid w:val="00BF1D2F"/>
    <w:rsid w:val="00C01E2A"/>
    <w:rsid w:val="00C422AC"/>
    <w:rsid w:val="00C50558"/>
    <w:rsid w:val="00C526FC"/>
    <w:rsid w:val="00C642C2"/>
    <w:rsid w:val="00C665C9"/>
    <w:rsid w:val="00C7482C"/>
    <w:rsid w:val="00C80E88"/>
    <w:rsid w:val="00C85C69"/>
    <w:rsid w:val="00CC257D"/>
    <w:rsid w:val="00CD25CF"/>
    <w:rsid w:val="00D06A31"/>
    <w:rsid w:val="00D06C52"/>
    <w:rsid w:val="00D24D3D"/>
    <w:rsid w:val="00D625FC"/>
    <w:rsid w:val="00D96F64"/>
    <w:rsid w:val="00DB6275"/>
    <w:rsid w:val="00DC2A4F"/>
    <w:rsid w:val="00E045F1"/>
    <w:rsid w:val="00E048F2"/>
    <w:rsid w:val="00E11462"/>
    <w:rsid w:val="00E13C0F"/>
    <w:rsid w:val="00E14F26"/>
    <w:rsid w:val="00E24E94"/>
    <w:rsid w:val="00E358B0"/>
    <w:rsid w:val="00E7274C"/>
    <w:rsid w:val="00E90A26"/>
    <w:rsid w:val="00E9153C"/>
    <w:rsid w:val="00EB1B01"/>
    <w:rsid w:val="00ED3771"/>
    <w:rsid w:val="00EF1725"/>
    <w:rsid w:val="00F0624D"/>
    <w:rsid w:val="00F6460C"/>
    <w:rsid w:val="00F7225D"/>
    <w:rsid w:val="00F76B73"/>
    <w:rsid w:val="00F853AB"/>
    <w:rsid w:val="00FA3D70"/>
    <w:rsid w:val="00FA79CC"/>
    <w:rsid w:val="00FB13EE"/>
    <w:rsid w:val="00FC27C1"/>
    <w:rsid w:val="00FD4C88"/>
    <w:rsid w:val="00FD6A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D469A"/>
  <w15:chartTrackingRefBased/>
  <w15:docId w15:val="{CBB2E700-AC39-4C71-A3A0-E1A70DDF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E358B0"/>
    <w:pPr>
      <w:spacing w:after="0" w:line="240" w:lineRule="auto"/>
    </w:pPr>
  </w:style>
  <w:style w:type="table" w:styleId="Tabelamrea">
    <w:name w:val="Table Grid"/>
    <w:basedOn w:val="Navadnatabela"/>
    <w:uiPriority w:val="39"/>
    <w:rsid w:val="00E35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E358B0"/>
    <w:rPr>
      <w:color w:val="0563C1" w:themeColor="hyperlink"/>
      <w:u w:val="single"/>
    </w:rPr>
  </w:style>
  <w:style w:type="character" w:styleId="Nerazreenaomemba">
    <w:name w:val="Unresolved Mention"/>
    <w:basedOn w:val="Privzetapisavaodstavka"/>
    <w:uiPriority w:val="99"/>
    <w:semiHidden/>
    <w:unhideWhenUsed/>
    <w:rsid w:val="00E358B0"/>
    <w:rPr>
      <w:color w:val="605E5C"/>
      <w:shd w:val="clear" w:color="auto" w:fill="E1DFDD"/>
    </w:rPr>
  </w:style>
  <w:style w:type="paragraph" w:styleId="Konnaopomba-besedilo">
    <w:name w:val="endnote text"/>
    <w:basedOn w:val="Navaden"/>
    <w:link w:val="Konnaopomba-besediloZnak"/>
    <w:uiPriority w:val="99"/>
    <w:semiHidden/>
    <w:unhideWhenUsed/>
    <w:rsid w:val="00192391"/>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192391"/>
    <w:rPr>
      <w:sz w:val="20"/>
      <w:szCs w:val="20"/>
    </w:rPr>
  </w:style>
  <w:style w:type="character" w:styleId="Konnaopomba-sklic">
    <w:name w:val="endnote reference"/>
    <w:basedOn w:val="Privzetapisavaodstavka"/>
    <w:uiPriority w:val="99"/>
    <w:semiHidden/>
    <w:unhideWhenUsed/>
    <w:rsid w:val="00192391"/>
    <w:rPr>
      <w:vertAlign w:val="superscript"/>
    </w:rPr>
  </w:style>
  <w:style w:type="character" w:styleId="SledenaHiperpovezava">
    <w:name w:val="FollowedHyperlink"/>
    <w:basedOn w:val="Privzetapisavaodstavka"/>
    <w:uiPriority w:val="99"/>
    <w:semiHidden/>
    <w:unhideWhenUsed/>
    <w:rsid w:val="004226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5889">
      <w:bodyDiv w:val="1"/>
      <w:marLeft w:val="0"/>
      <w:marRight w:val="0"/>
      <w:marTop w:val="0"/>
      <w:marBottom w:val="0"/>
      <w:divBdr>
        <w:top w:val="none" w:sz="0" w:space="0" w:color="auto"/>
        <w:left w:val="none" w:sz="0" w:space="0" w:color="auto"/>
        <w:bottom w:val="none" w:sz="0" w:space="0" w:color="auto"/>
        <w:right w:val="none" w:sz="0" w:space="0" w:color="auto"/>
      </w:divBdr>
    </w:div>
    <w:div w:id="129136698">
      <w:bodyDiv w:val="1"/>
      <w:marLeft w:val="0"/>
      <w:marRight w:val="0"/>
      <w:marTop w:val="0"/>
      <w:marBottom w:val="0"/>
      <w:divBdr>
        <w:top w:val="none" w:sz="0" w:space="0" w:color="auto"/>
        <w:left w:val="none" w:sz="0" w:space="0" w:color="auto"/>
        <w:bottom w:val="none" w:sz="0" w:space="0" w:color="auto"/>
        <w:right w:val="none" w:sz="0" w:space="0" w:color="auto"/>
      </w:divBdr>
    </w:div>
    <w:div w:id="150297373">
      <w:bodyDiv w:val="1"/>
      <w:marLeft w:val="0"/>
      <w:marRight w:val="0"/>
      <w:marTop w:val="0"/>
      <w:marBottom w:val="0"/>
      <w:divBdr>
        <w:top w:val="none" w:sz="0" w:space="0" w:color="auto"/>
        <w:left w:val="none" w:sz="0" w:space="0" w:color="auto"/>
        <w:bottom w:val="none" w:sz="0" w:space="0" w:color="auto"/>
        <w:right w:val="none" w:sz="0" w:space="0" w:color="auto"/>
      </w:divBdr>
    </w:div>
    <w:div w:id="306202442">
      <w:bodyDiv w:val="1"/>
      <w:marLeft w:val="0"/>
      <w:marRight w:val="0"/>
      <w:marTop w:val="0"/>
      <w:marBottom w:val="0"/>
      <w:divBdr>
        <w:top w:val="none" w:sz="0" w:space="0" w:color="auto"/>
        <w:left w:val="none" w:sz="0" w:space="0" w:color="auto"/>
        <w:bottom w:val="none" w:sz="0" w:space="0" w:color="auto"/>
        <w:right w:val="none" w:sz="0" w:space="0" w:color="auto"/>
      </w:divBdr>
    </w:div>
    <w:div w:id="364061332">
      <w:bodyDiv w:val="1"/>
      <w:marLeft w:val="0"/>
      <w:marRight w:val="0"/>
      <w:marTop w:val="0"/>
      <w:marBottom w:val="0"/>
      <w:divBdr>
        <w:top w:val="none" w:sz="0" w:space="0" w:color="auto"/>
        <w:left w:val="none" w:sz="0" w:space="0" w:color="auto"/>
        <w:bottom w:val="none" w:sz="0" w:space="0" w:color="auto"/>
        <w:right w:val="none" w:sz="0" w:space="0" w:color="auto"/>
      </w:divBdr>
    </w:div>
    <w:div w:id="448203624">
      <w:bodyDiv w:val="1"/>
      <w:marLeft w:val="0"/>
      <w:marRight w:val="0"/>
      <w:marTop w:val="0"/>
      <w:marBottom w:val="0"/>
      <w:divBdr>
        <w:top w:val="none" w:sz="0" w:space="0" w:color="auto"/>
        <w:left w:val="none" w:sz="0" w:space="0" w:color="auto"/>
        <w:bottom w:val="none" w:sz="0" w:space="0" w:color="auto"/>
        <w:right w:val="none" w:sz="0" w:space="0" w:color="auto"/>
      </w:divBdr>
    </w:div>
    <w:div w:id="577592443">
      <w:bodyDiv w:val="1"/>
      <w:marLeft w:val="0"/>
      <w:marRight w:val="0"/>
      <w:marTop w:val="0"/>
      <w:marBottom w:val="0"/>
      <w:divBdr>
        <w:top w:val="none" w:sz="0" w:space="0" w:color="auto"/>
        <w:left w:val="none" w:sz="0" w:space="0" w:color="auto"/>
        <w:bottom w:val="none" w:sz="0" w:space="0" w:color="auto"/>
        <w:right w:val="none" w:sz="0" w:space="0" w:color="auto"/>
      </w:divBdr>
    </w:div>
    <w:div w:id="579676039">
      <w:bodyDiv w:val="1"/>
      <w:marLeft w:val="0"/>
      <w:marRight w:val="0"/>
      <w:marTop w:val="0"/>
      <w:marBottom w:val="0"/>
      <w:divBdr>
        <w:top w:val="none" w:sz="0" w:space="0" w:color="auto"/>
        <w:left w:val="none" w:sz="0" w:space="0" w:color="auto"/>
        <w:bottom w:val="none" w:sz="0" w:space="0" w:color="auto"/>
        <w:right w:val="none" w:sz="0" w:space="0" w:color="auto"/>
      </w:divBdr>
    </w:div>
    <w:div w:id="602348023">
      <w:bodyDiv w:val="1"/>
      <w:marLeft w:val="0"/>
      <w:marRight w:val="0"/>
      <w:marTop w:val="0"/>
      <w:marBottom w:val="0"/>
      <w:divBdr>
        <w:top w:val="none" w:sz="0" w:space="0" w:color="auto"/>
        <w:left w:val="none" w:sz="0" w:space="0" w:color="auto"/>
        <w:bottom w:val="none" w:sz="0" w:space="0" w:color="auto"/>
        <w:right w:val="none" w:sz="0" w:space="0" w:color="auto"/>
      </w:divBdr>
      <w:divsChild>
        <w:div w:id="1154373322">
          <w:marLeft w:val="0"/>
          <w:marRight w:val="0"/>
          <w:marTop w:val="0"/>
          <w:marBottom w:val="0"/>
          <w:divBdr>
            <w:top w:val="none" w:sz="0" w:space="0" w:color="auto"/>
            <w:left w:val="none" w:sz="0" w:space="0" w:color="auto"/>
            <w:bottom w:val="none" w:sz="0" w:space="0" w:color="auto"/>
            <w:right w:val="none" w:sz="0" w:space="0" w:color="auto"/>
          </w:divBdr>
        </w:div>
      </w:divsChild>
    </w:div>
    <w:div w:id="691959903">
      <w:bodyDiv w:val="1"/>
      <w:marLeft w:val="0"/>
      <w:marRight w:val="0"/>
      <w:marTop w:val="0"/>
      <w:marBottom w:val="0"/>
      <w:divBdr>
        <w:top w:val="none" w:sz="0" w:space="0" w:color="auto"/>
        <w:left w:val="none" w:sz="0" w:space="0" w:color="auto"/>
        <w:bottom w:val="none" w:sz="0" w:space="0" w:color="auto"/>
        <w:right w:val="none" w:sz="0" w:space="0" w:color="auto"/>
      </w:divBdr>
      <w:divsChild>
        <w:div w:id="262540207">
          <w:marLeft w:val="0"/>
          <w:marRight w:val="0"/>
          <w:marTop w:val="240"/>
          <w:marBottom w:val="120"/>
          <w:divBdr>
            <w:top w:val="none" w:sz="0" w:space="0" w:color="auto"/>
            <w:left w:val="none" w:sz="0" w:space="0" w:color="auto"/>
            <w:bottom w:val="none" w:sz="0" w:space="0" w:color="auto"/>
            <w:right w:val="none" w:sz="0" w:space="0" w:color="auto"/>
          </w:divBdr>
        </w:div>
        <w:div w:id="1408456084">
          <w:marLeft w:val="0"/>
          <w:marRight w:val="0"/>
          <w:marTop w:val="0"/>
          <w:marBottom w:val="120"/>
          <w:divBdr>
            <w:top w:val="none" w:sz="0" w:space="0" w:color="auto"/>
            <w:left w:val="none" w:sz="0" w:space="0" w:color="auto"/>
            <w:bottom w:val="none" w:sz="0" w:space="0" w:color="auto"/>
            <w:right w:val="none" w:sz="0" w:space="0" w:color="auto"/>
          </w:divBdr>
        </w:div>
        <w:div w:id="942490343">
          <w:marLeft w:val="0"/>
          <w:marRight w:val="0"/>
          <w:marTop w:val="0"/>
          <w:marBottom w:val="120"/>
          <w:divBdr>
            <w:top w:val="none" w:sz="0" w:space="0" w:color="auto"/>
            <w:left w:val="none" w:sz="0" w:space="0" w:color="auto"/>
            <w:bottom w:val="none" w:sz="0" w:space="0" w:color="auto"/>
            <w:right w:val="none" w:sz="0" w:space="0" w:color="auto"/>
          </w:divBdr>
        </w:div>
        <w:div w:id="656613378">
          <w:marLeft w:val="0"/>
          <w:marRight w:val="0"/>
          <w:marTop w:val="0"/>
          <w:marBottom w:val="120"/>
          <w:divBdr>
            <w:top w:val="none" w:sz="0" w:space="0" w:color="auto"/>
            <w:left w:val="none" w:sz="0" w:space="0" w:color="auto"/>
            <w:bottom w:val="none" w:sz="0" w:space="0" w:color="auto"/>
            <w:right w:val="none" w:sz="0" w:space="0" w:color="auto"/>
          </w:divBdr>
        </w:div>
        <w:div w:id="3093519">
          <w:marLeft w:val="0"/>
          <w:marRight w:val="0"/>
          <w:marTop w:val="0"/>
          <w:marBottom w:val="120"/>
          <w:divBdr>
            <w:top w:val="none" w:sz="0" w:space="0" w:color="auto"/>
            <w:left w:val="none" w:sz="0" w:space="0" w:color="auto"/>
            <w:bottom w:val="none" w:sz="0" w:space="0" w:color="auto"/>
            <w:right w:val="none" w:sz="0" w:space="0" w:color="auto"/>
          </w:divBdr>
        </w:div>
      </w:divsChild>
    </w:div>
    <w:div w:id="869875710">
      <w:bodyDiv w:val="1"/>
      <w:marLeft w:val="0"/>
      <w:marRight w:val="0"/>
      <w:marTop w:val="0"/>
      <w:marBottom w:val="0"/>
      <w:divBdr>
        <w:top w:val="none" w:sz="0" w:space="0" w:color="auto"/>
        <w:left w:val="none" w:sz="0" w:space="0" w:color="auto"/>
        <w:bottom w:val="none" w:sz="0" w:space="0" w:color="auto"/>
        <w:right w:val="none" w:sz="0" w:space="0" w:color="auto"/>
      </w:divBdr>
    </w:div>
    <w:div w:id="916524559">
      <w:bodyDiv w:val="1"/>
      <w:marLeft w:val="0"/>
      <w:marRight w:val="0"/>
      <w:marTop w:val="0"/>
      <w:marBottom w:val="0"/>
      <w:divBdr>
        <w:top w:val="none" w:sz="0" w:space="0" w:color="auto"/>
        <w:left w:val="none" w:sz="0" w:space="0" w:color="auto"/>
        <w:bottom w:val="none" w:sz="0" w:space="0" w:color="auto"/>
        <w:right w:val="none" w:sz="0" w:space="0" w:color="auto"/>
      </w:divBdr>
    </w:div>
    <w:div w:id="1025987771">
      <w:bodyDiv w:val="1"/>
      <w:marLeft w:val="0"/>
      <w:marRight w:val="0"/>
      <w:marTop w:val="0"/>
      <w:marBottom w:val="0"/>
      <w:divBdr>
        <w:top w:val="none" w:sz="0" w:space="0" w:color="auto"/>
        <w:left w:val="none" w:sz="0" w:space="0" w:color="auto"/>
        <w:bottom w:val="none" w:sz="0" w:space="0" w:color="auto"/>
        <w:right w:val="none" w:sz="0" w:space="0" w:color="auto"/>
      </w:divBdr>
    </w:div>
    <w:div w:id="1096052540">
      <w:bodyDiv w:val="1"/>
      <w:marLeft w:val="0"/>
      <w:marRight w:val="0"/>
      <w:marTop w:val="0"/>
      <w:marBottom w:val="0"/>
      <w:divBdr>
        <w:top w:val="none" w:sz="0" w:space="0" w:color="auto"/>
        <w:left w:val="none" w:sz="0" w:space="0" w:color="auto"/>
        <w:bottom w:val="none" w:sz="0" w:space="0" w:color="auto"/>
        <w:right w:val="none" w:sz="0" w:space="0" w:color="auto"/>
      </w:divBdr>
    </w:div>
    <w:div w:id="1155606404">
      <w:bodyDiv w:val="1"/>
      <w:marLeft w:val="0"/>
      <w:marRight w:val="0"/>
      <w:marTop w:val="0"/>
      <w:marBottom w:val="0"/>
      <w:divBdr>
        <w:top w:val="none" w:sz="0" w:space="0" w:color="auto"/>
        <w:left w:val="none" w:sz="0" w:space="0" w:color="auto"/>
        <w:bottom w:val="none" w:sz="0" w:space="0" w:color="auto"/>
        <w:right w:val="none" w:sz="0" w:space="0" w:color="auto"/>
      </w:divBdr>
    </w:div>
    <w:div w:id="1343242279">
      <w:bodyDiv w:val="1"/>
      <w:marLeft w:val="0"/>
      <w:marRight w:val="0"/>
      <w:marTop w:val="0"/>
      <w:marBottom w:val="0"/>
      <w:divBdr>
        <w:top w:val="none" w:sz="0" w:space="0" w:color="auto"/>
        <w:left w:val="none" w:sz="0" w:space="0" w:color="auto"/>
        <w:bottom w:val="none" w:sz="0" w:space="0" w:color="auto"/>
        <w:right w:val="none" w:sz="0" w:space="0" w:color="auto"/>
      </w:divBdr>
    </w:div>
    <w:div w:id="1432045781">
      <w:bodyDiv w:val="1"/>
      <w:marLeft w:val="0"/>
      <w:marRight w:val="0"/>
      <w:marTop w:val="0"/>
      <w:marBottom w:val="0"/>
      <w:divBdr>
        <w:top w:val="none" w:sz="0" w:space="0" w:color="auto"/>
        <w:left w:val="none" w:sz="0" w:space="0" w:color="auto"/>
        <w:bottom w:val="none" w:sz="0" w:space="0" w:color="auto"/>
        <w:right w:val="none" w:sz="0" w:space="0" w:color="auto"/>
      </w:divBdr>
    </w:div>
    <w:div w:id="1597517114">
      <w:bodyDiv w:val="1"/>
      <w:marLeft w:val="0"/>
      <w:marRight w:val="0"/>
      <w:marTop w:val="0"/>
      <w:marBottom w:val="0"/>
      <w:divBdr>
        <w:top w:val="none" w:sz="0" w:space="0" w:color="auto"/>
        <w:left w:val="none" w:sz="0" w:space="0" w:color="auto"/>
        <w:bottom w:val="none" w:sz="0" w:space="0" w:color="auto"/>
        <w:right w:val="none" w:sz="0" w:space="0" w:color="auto"/>
      </w:divBdr>
    </w:div>
    <w:div w:id="1634166863">
      <w:bodyDiv w:val="1"/>
      <w:marLeft w:val="0"/>
      <w:marRight w:val="0"/>
      <w:marTop w:val="0"/>
      <w:marBottom w:val="0"/>
      <w:divBdr>
        <w:top w:val="none" w:sz="0" w:space="0" w:color="auto"/>
        <w:left w:val="none" w:sz="0" w:space="0" w:color="auto"/>
        <w:bottom w:val="none" w:sz="0" w:space="0" w:color="auto"/>
        <w:right w:val="none" w:sz="0" w:space="0" w:color="auto"/>
      </w:divBdr>
    </w:div>
    <w:div w:id="1635064348">
      <w:bodyDiv w:val="1"/>
      <w:marLeft w:val="0"/>
      <w:marRight w:val="0"/>
      <w:marTop w:val="0"/>
      <w:marBottom w:val="0"/>
      <w:divBdr>
        <w:top w:val="none" w:sz="0" w:space="0" w:color="auto"/>
        <w:left w:val="none" w:sz="0" w:space="0" w:color="auto"/>
        <w:bottom w:val="none" w:sz="0" w:space="0" w:color="auto"/>
        <w:right w:val="none" w:sz="0" w:space="0" w:color="auto"/>
      </w:divBdr>
    </w:div>
    <w:div w:id="1715151604">
      <w:bodyDiv w:val="1"/>
      <w:marLeft w:val="0"/>
      <w:marRight w:val="0"/>
      <w:marTop w:val="0"/>
      <w:marBottom w:val="0"/>
      <w:divBdr>
        <w:top w:val="none" w:sz="0" w:space="0" w:color="auto"/>
        <w:left w:val="none" w:sz="0" w:space="0" w:color="auto"/>
        <w:bottom w:val="none" w:sz="0" w:space="0" w:color="auto"/>
        <w:right w:val="none" w:sz="0" w:space="0" w:color="auto"/>
      </w:divBdr>
    </w:div>
    <w:div w:id="1793089719">
      <w:bodyDiv w:val="1"/>
      <w:marLeft w:val="0"/>
      <w:marRight w:val="0"/>
      <w:marTop w:val="0"/>
      <w:marBottom w:val="0"/>
      <w:divBdr>
        <w:top w:val="none" w:sz="0" w:space="0" w:color="auto"/>
        <w:left w:val="none" w:sz="0" w:space="0" w:color="auto"/>
        <w:bottom w:val="none" w:sz="0" w:space="0" w:color="auto"/>
        <w:right w:val="none" w:sz="0" w:space="0" w:color="auto"/>
      </w:divBdr>
    </w:div>
    <w:div w:id="1795177959">
      <w:bodyDiv w:val="1"/>
      <w:marLeft w:val="0"/>
      <w:marRight w:val="0"/>
      <w:marTop w:val="0"/>
      <w:marBottom w:val="0"/>
      <w:divBdr>
        <w:top w:val="none" w:sz="0" w:space="0" w:color="auto"/>
        <w:left w:val="none" w:sz="0" w:space="0" w:color="auto"/>
        <w:bottom w:val="none" w:sz="0" w:space="0" w:color="auto"/>
        <w:right w:val="none" w:sz="0" w:space="0" w:color="auto"/>
      </w:divBdr>
      <w:divsChild>
        <w:div w:id="249124032">
          <w:marLeft w:val="0"/>
          <w:marRight w:val="0"/>
          <w:marTop w:val="0"/>
          <w:marBottom w:val="0"/>
          <w:divBdr>
            <w:top w:val="none" w:sz="0" w:space="0" w:color="auto"/>
            <w:left w:val="none" w:sz="0" w:space="0" w:color="auto"/>
            <w:bottom w:val="none" w:sz="0" w:space="0" w:color="auto"/>
            <w:right w:val="none" w:sz="0" w:space="0" w:color="auto"/>
          </w:divBdr>
        </w:div>
      </w:divsChild>
    </w:div>
    <w:div w:id="1853953657">
      <w:bodyDiv w:val="1"/>
      <w:marLeft w:val="0"/>
      <w:marRight w:val="0"/>
      <w:marTop w:val="0"/>
      <w:marBottom w:val="0"/>
      <w:divBdr>
        <w:top w:val="none" w:sz="0" w:space="0" w:color="auto"/>
        <w:left w:val="none" w:sz="0" w:space="0" w:color="auto"/>
        <w:bottom w:val="none" w:sz="0" w:space="0" w:color="auto"/>
        <w:right w:val="none" w:sz="0" w:space="0" w:color="auto"/>
      </w:divBdr>
    </w:div>
    <w:div w:id="194421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2-01-4294/uredba-o-dolocitvi-cene-elektricne-energije-za-mikro-mala-in-srednja-podjetja?h=" TargetMode="External"/><Relationship Id="rId13" Type="http://schemas.openxmlformats.org/officeDocument/2006/relationships/hyperlink" Target="http://www.pisrs.si/Pis.web/pregledPredpisa?id=ZAKO8541" TargetMode="External"/><Relationship Id="rId18" Type="http://schemas.openxmlformats.org/officeDocument/2006/relationships/hyperlink" Target="http://www.pisrs.si/Pis.web/pregledPredpisa?id=URED861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uradni-list.si/glasilo-uradni-list-rs/vsebina/2022-01-4186?sop=2022-01-4186" TargetMode="External"/><Relationship Id="rId12" Type="http://schemas.openxmlformats.org/officeDocument/2006/relationships/hyperlink" Target="http://www.pisrs.si/Pis.web/pregledPredpisa?id=ZAKO8678" TargetMode="External"/><Relationship Id="rId17" Type="http://schemas.openxmlformats.org/officeDocument/2006/relationships/hyperlink" Target="https://www.uradni-list.si/glasilo-uradni-list-rs/vsebina/2022-01-2722/uredba-o-spremembah-uredbe-o-davcni-obravnavi-povracil-stroskov-in-drugih-dohodkov-iz-delovnega-razmerja" TargetMode="External"/><Relationship Id="rId2" Type="http://schemas.openxmlformats.org/officeDocument/2006/relationships/styles" Target="styles.xml"/><Relationship Id="rId16" Type="http://schemas.openxmlformats.org/officeDocument/2006/relationships/hyperlink" Target="http://www.pisrs.si/Pis.web/pregledPredpisa?id=ZAKO8534" TargetMode="External"/><Relationship Id="rId20" Type="http://schemas.openxmlformats.org/officeDocument/2006/relationships/hyperlink" Target="https://www.podjetniskisklad.si/slovenski-podjetniski-sklad-razpisuje-nove-krizno-likvidnostne-kredi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isrs.si/Pis.web/pregledPredpisa?id=ZAKO8668" TargetMode="External"/><Relationship Id="rId5" Type="http://schemas.openxmlformats.org/officeDocument/2006/relationships/footnotes" Target="footnotes.xml"/><Relationship Id="rId15" Type="http://schemas.openxmlformats.org/officeDocument/2006/relationships/hyperlink" Target="https://www.uradni-list.si/glasilo-uradni-list-rs/vsebina/2022-01-2731/zakon-o-nujnem-ukrepu-na-podrocju-davka-na-dodano-vrednost-za-omilitev-dviga-cen-energentov-znuddve" TargetMode="External"/><Relationship Id="rId10" Type="http://schemas.openxmlformats.org/officeDocument/2006/relationships/hyperlink" Target="http://www.pisrs.si/Pis.web/pregledPredpisa?id=ZAKO8666" TargetMode="External"/><Relationship Id="rId19" Type="http://schemas.openxmlformats.org/officeDocument/2006/relationships/hyperlink" Target="http://www.pisrs.si/Pis.web/pregledPredpisa?id=URED8604" TargetMode="External"/><Relationship Id="rId4" Type="http://schemas.openxmlformats.org/officeDocument/2006/relationships/webSettings" Target="webSettings.xml"/><Relationship Id="rId9" Type="http://schemas.openxmlformats.org/officeDocument/2006/relationships/hyperlink" Target="http://www.pisrs.si/Pis.web/pregledPredpisa?id=URED8623" TargetMode="External"/><Relationship Id="rId14" Type="http://schemas.openxmlformats.org/officeDocument/2006/relationships/hyperlink" Target="https://www.uradni-list.si/glasilo-uradni-list-rs/vsebina/2022-01-2980/zakon-o-zacasnih-ukrepih-za-omilitev-posledic-draginje-za-upravicence-do-otroskega-dodatka-zzuodod"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9</Pages>
  <Words>2280</Words>
  <Characters>13000</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Cerjak</dc:creator>
  <cp:keywords/>
  <dc:description/>
  <cp:lastModifiedBy>Žana Cerjak</cp:lastModifiedBy>
  <cp:revision>125</cp:revision>
  <dcterms:created xsi:type="dcterms:W3CDTF">2022-11-07T12:22:00Z</dcterms:created>
  <dcterms:modified xsi:type="dcterms:W3CDTF">2023-01-31T12:09:00Z</dcterms:modified>
</cp:coreProperties>
</file>